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780796" w:rsidRPr="00EC7504" w:rsidTr="00780796">
        <w:tc>
          <w:tcPr>
            <w:tcW w:w="2160" w:type="dxa"/>
            <w:shd w:val="clear" w:color="auto" w:fill="auto"/>
          </w:tcPr>
          <w:p w:rsidR="00780796" w:rsidRPr="00EC7504" w:rsidRDefault="00780796" w:rsidP="0078079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EC7504" w:rsidRPr="001E23D9" w:rsidRDefault="00EC7504" w:rsidP="00EC7504">
      <w:pPr>
        <w:spacing w:after="0"/>
        <w:rPr>
          <w:rFonts w:ascii="Times New Roman" w:hAnsi="Times New Roman" w:cs="Times New Roman"/>
          <w:b/>
          <w:sz w:val="8"/>
          <w:szCs w:val="8"/>
        </w:rPr>
      </w:pPr>
    </w:p>
    <w:p w:rsidR="008B0E7E" w:rsidRDefault="003B14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tbl>
      <w:tblPr>
        <w:tblStyle w:val="Reetkatablice"/>
        <w:tblW w:w="0" w:type="auto"/>
        <w:tblInd w:w="95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409"/>
        <w:gridCol w:w="1560"/>
        <w:gridCol w:w="2693"/>
      </w:tblGrid>
      <w:tr w:rsidR="006560C2" w:rsidTr="006560C2">
        <w:tc>
          <w:tcPr>
            <w:tcW w:w="1276" w:type="dxa"/>
            <w:tcBorders>
              <w:bottom w:val="nil"/>
            </w:tcBorders>
            <w:vAlign w:val="bottom"/>
          </w:tcPr>
          <w:p w:rsidR="008B0E7E" w:rsidRDefault="00656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KLASA:</w:t>
            </w:r>
          </w:p>
        </w:tc>
        <w:tc>
          <w:tcPr>
            <w:tcW w:w="2409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8B0E7E" w:rsidRDefault="00656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URBROJ:</w:t>
            </w:r>
          </w:p>
        </w:tc>
        <w:tc>
          <w:tcPr>
            <w:tcW w:w="2693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B0E7E" w:rsidRDefault="008B0E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23D9" w:rsidRDefault="003B143F" w:rsidP="001E23D9">
      <w:pPr>
        <w:shd w:val="clear" w:color="auto" w:fill="FFFFFF" w:themeFill="background1"/>
        <w:spacing w:after="0"/>
        <w:ind w:right="-2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>TIPA OPERACIJE</w:t>
      </w:r>
      <w:r w:rsidR="00873E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EFC" w:rsidRPr="00873EFC">
        <w:rPr>
          <w:rFonts w:ascii="Times New Roman" w:hAnsi="Times New Roman" w:cs="Times New Roman"/>
          <w:b/>
          <w:sz w:val="28"/>
          <w:szCs w:val="28"/>
        </w:rPr>
        <w:t>2.1.1 "RAZVOJ OPĆE DRUŠTVENE INFRASTRUKTURE U SVRHU PODIZANJA KVALITETE ŽIVOTA STANOVNIKA LAG-a"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FED" w:rsidRDefault="00AE0FED" w:rsidP="001E23D9">
      <w:pPr>
        <w:shd w:val="clear" w:color="auto" w:fill="FFFFFF" w:themeFill="background1"/>
        <w:spacing w:after="0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L</w:t>
      </w:r>
      <w:r w:rsidR="001E23D9">
        <w:rPr>
          <w:rFonts w:ascii="Times New Roman" w:hAnsi="Times New Roman" w:cs="Times New Roman"/>
          <w:b/>
          <w:sz w:val="28"/>
          <w:szCs w:val="28"/>
        </w:rPr>
        <w:t xml:space="preserve">OKALNE </w:t>
      </w:r>
      <w:r w:rsidRPr="00AE0FED">
        <w:rPr>
          <w:rFonts w:ascii="Times New Roman" w:hAnsi="Times New Roman" w:cs="Times New Roman"/>
          <w:b/>
          <w:sz w:val="28"/>
          <w:szCs w:val="28"/>
        </w:rPr>
        <w:t>R</w:t>
      </w:r>
      <w:r w:rsidR="001E23D9">
        <w:rPr>
          <w:rFonts w:ascii="Times New Roman" w:hAnsi="Times New Roman" w:cs="Times New Roman"/>
          <w:b/>
          <w:sz w:val="28"/>
          <w:szCs w:val="28"/>
        </w:rPr>
        <w:t xml:space="preserve">AZVOJNE </w:t>
      </w:r>
      <w:r w:rsidRPr="00AE0FED">
        <w:rPr>
          <w:rFonts w:ascii="Times New Roman" w:hAnsi="Times New Roman" w:cs="Times New Roman"/>
          <w:b/>
          <w:sz w:val="28"/>
          <w:szCs w:val="28"/>
        </w:rPr>
        <w:t>S</w:t>
      </w:r>
      <w:r w:rsidR="001E23D9">
        <w:rPr>
          <w:rFonts w:ascii="Times New Roman" w:hAnsi="Times New Roman" w:cs="Times New Roman"/>
          <w:b/>
          <w:sz w:val="28"/>
          <w:szCs w:val="28"/>
        </w:rPr>
        <w:t>TRATEGIJE</w:t>
      </w:r>
      <w:r w:rsidRPr="00AE0FED">
        <w:rPr>
          <w:rFonts w:ascii="Times New Roman" w:hAnsi="Times New Roman" w:cs="Times New Roman"/>
          <w:b/>
          <w:sz w:val="28"/>
          <w:szCs w:val="28"/>
        </w:rPr>
        <w:t xml:space="preserve"> LAG-a </w:t>
      </w:r>
      <w:r w:rsidR="00873EFC">
        <w:rPr>
          <w:rFonts w:ascii="Times New Roman" w:hAnsi="Times New Roman" w:cs="Times New Roman"/>
          <w:b/>
          <w:sz w:val="28"/>
          <w:szCs w:val="28"/>
        </w:rPr>
        <w:t>„MOSLAVINA“</w:t>
      </w:r>
    </w:p>
    <w:p w:rsidR="001E23D9" w:rsidRPr="001E23D9" w:rsidRDefault="001E23D9" w:rsidP="0093730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:rsidR="00443812" w:rsidRPr="008A64B2" w:rsidRDefault="00443812" w:rsidP="001E23D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963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41403" w:rsidTr="00B41403">
        <w:trPr>
          <w:trHeight w:val="420"/>
        </w:trPr>
        <w:tc>
          <w:tcPr>
            <w:tcW w:w="9637" w:type="dxa"/>
            <w:vAlign w:val="bottom"/>
          </w:tcPr>
          <w:p w:rsidR="008B0E7E" w:rsidRDefault="00105996" w:rsidP="00105996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Izgradnja d</w:t>
            </w:r>
            <w:r w:rsidR="006B2E9E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ječje</w:t>
            </w:r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 xml:space="preserve">g igrališta u  </w:t>
            </w:r>
            <w:proofErr w:type="spellStart"/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graberju</w:t>
            </w:r>
            <w:proofErr w:type="spellEnd"/>
            <w:r w:rsidR="006B2E9E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 xml:space="preserve"> ivanićko</w:t>
            </w:r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m</w:t>
            </w:r>
          </w:p>
        </w:tc>
      </w:tr>
      <w:tr w:rsidR="00B41403" w:rsidTr="00B41403">
        <w:trPr>
          <w:trHeight w:val="420"/>
        </w:trPr>
        <w:tc>
          <w:tcPr>
            <w:tcW w:w="9637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</w:p>
        </w:tc>
      </w:tr>
    </w:tbl>
    <w:p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403" w:rsidTr="00B41403">
        <w:trPr>
          <w:trHeight w:val="374"/>
        </w:trPr>
        <w:tc>
          <w:tcPr>
            <w:tcW w:w="9628" w:type="dxa"/>
            <w:vAlign w:val="bottom"/>
          </w:tcPr>
          <w:p w:rsidR="008B0E7E" w:rsidRDefault="006B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Ivanić - Grad</w:t>
            </w:r>
          </w:p>
        </w:tc>
      </w:tr>
    </w:tbl>
    <w:p w:rsidR="00B41403" w:rsidRDefault="00B41403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403" w:rsidTr="00B41403">
        <w:trPr>
          <w:trHeight w:val="366"/>
        </w:trPr>
        <w:tc>
          <w:tcPr>
            <w:tcW w:w="9628" w:type="dxa"/>
            <w:vAlign w:val="bottom"/>
          </w:tcPr>
          <w:p w:rsidR="008B0E7E" w:rsidRDefault="006B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Jedinica lokalne samouprave - Grad</w:t>
            </w:r>
          </w:p>
        </w:tc>
      </w:tr>
    </w:tbl>
    <w:p w:rsidR="00B41403" w:rsidRDefault="00B41403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403" w:rsidTr="00B41403">
        <w:trPr>
          <w:trHeight w:val="373"/>
        </w:trPr>
        <w:tc>
          <w:tcPr>
            <w:tcW w:w="9628" w:type="dxa"/>
            <w:vAlign w:val="bottom"/>
          </w:tcPr>
          <w:p w:rsidR="008B0E7E" w:rsidRDefault="00D10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 hrvatskih branitelja 1, 10310 Ivanić - Grad</w:t>
            </w:r>
          </w:p>
        </w:tc>
      </w:tr>
    </w:tbl>
    <w:p w:rsidR="00B41403" w:rsidRDefault="00B41403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403" w:rsidTr="00B41403">
        <w:trPr>
          <w:trHeight w:val="378"/>
        </w:trPr>
        <w:tc>
          <w:tcPr>
            <w:tcW w:w="9628" w:type="dxa"/>
            <w:vAlign w:val="bottom"/>
          </w:tcPr>
          <w:p w:rsidR="008B0E7E" w:rsidRDefault="00D10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Gradonačelnik , Javor Bojan Leš</w:t>
            </w:r>
          </w:p>
        </w:tc>
      </w:tr>
    </w:tbl>
    <w:p w:rsidR="00B41403" w:rsidRDefault="00B41403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1403" w:rsidTr="00B41403">
        <w:trPr>
          <w:trHeight w:val="397"/>
        </w:trPr>
        <w:tc>
          <w:tcPr>
            <w:tcW w:w="9628" w:type="dxa"/>
            <w:tcBorders>
              <w:top w:val="nil"/>
              <w:left w:val="nil"/>
              <w:right w:val="nil"/>
            </w:tcBorders>
            <w:vAlign w:val="bottom"/>
          </w:tcPr>
          <w:p w:rsidR="008B0E7E" w:rsidRDefault="0042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Valentin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Gadža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(01) 2831 384; 0992320131; valentin.gadza@ivanic-grad.hr</w:t>
            </w:r>
          </w:p>
        </w:tc>
      </w:tr>
    </w:tbl>
    <w:p w:rsidR="008B0E7E" w:rsidRDefault="008B0E7E">
      <w:pPr>
        <w:spacing w:after="0"/>
        <w:jc w:val="both"/>
        <w:rPr>
          <w:rFonts w:ascii="Times New Roman" w:hAnsi="Times New Roman" w:cs="Times New Roman"/>
          <w:sz w:val="12"/>
          <w:szCs w:val="24"/>
        </w:rPr>
      </w:pPr>
    </w:p>
    <w:p w:rsidR="00B52C8A" w:rsidRDefault="00B52C8A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:rsidR="005147C7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:rsidR="0005327D" w:rsidRPr="008A64B2" w:rsidRDefault="00053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(navesti</w:t>
      </w:r>
      <w:r w:rsidR="001E23D9">
        <w:rPr>
          <w:rFonts w:ascii="Times New Roman" w:hAnsi="Times New Roman" w:cs="Times New Roman"/>
          <w:sz w:val="24"/>
          <w:szCs w:val="24"/>
        </w:rPr>
        <w:t xml:space="preserve"> naziv tipa operacije unutar Lokalne razvojne strategije</w:t>
      </w:r>
      <w:r>
        <w:rPr>
          <w:rFonts w:ascii="Times New Roman" w:hAnsi="Times New Roman" w:cs="Times New Roman"/>
          <w:sz w:val="24"/>
          <w:szCs w:val="24"/>
        </w:rPr>
        <w:t xml:space="preserve"> LAG-a </w:t>
      </w:r>
      <w:r w:rsidR="001E23D9">
        <w:rPr>
          <w:rFonts w:ascii="Times New Roman" w:hAnsi="Times New Roman" w:cs="Times New Roman"/>
          <w:sz w:val="24"/>
          <w:szCs w:val="24"/>
        </w:rPr>
        <w:t xml:space="preserve">„Moslavina“ </w:t>
      </w:r>
      <w:r>
        <w:rPr>
          <w:rFonts w:ascii="Times New Roman" w:hAnsi="Times New Roman" w:cs="Times New Roman"/>
          <w:sz w:val="24"/>
          <w:szCs w:val="24"/>
        </w:rPr>
        <w:t>za koji nositelj projekta traži javnu potporu)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:rsidR="00722F5F" w:rsidRPr="00105996" w:rsidRDefault="003967B5" w:rsidP="00722F5F">
      <w:pPr>
        <w:rPr>
          <w:rFonts w:ascii="Times New Roman" w:hAnsi="Times New Roman" w:cs="Times New Roman"/>
          <w:sz w:val="24"/>
          <w:szCs w:val="24"/>
        </w:rPr>
      </w:pPr>
      <w:r w:rsidRPr="00105996">
        <w:rPr>
          <w:rFonts w:ascii="Times New Roman" w:hAnsi="Times New Roman" w:cs="Times New Roman"/>
          <w:sz w:val="24"/>
          <w:szCs w:val="24"/>
        </w:rPr>
        <w:t>2.1</w:t>
      </w:r>
      <w:r w:rsidR="00841947" w:rsidRPr="00105996">
        <w:rPr>
          <w:rFonts w:ascii="Times New Roman" w:hAnsi="Times New Roman" w:cs="Times New Roman"/>
          <w:sz w:val="24"/>
          <w:szCs w:val="24"/>
        </w:rPr>
        <w:t>.</w:t>
      </w:r>
      <w:r w:rsidRPr="00105996">
        <w:rPr>
          <w:rFonts w:ascii="Times New Roman" w:hAnsi="Times New Roman" w:cs="Times New Roman"/>
          <w:sz w:val="24"/>
          <w:szCs w:val="24"/>
        </w:rPr>
        <w:t xml:space="preserve"> POTP</w:t>
      </w:r>
      <w:r w:rsidR="00B41403" w:rsidRPr="00105996">
        <w:rPr>
          <w:rFonts w:ascii="Times New Roman" w:hAnsi="Times New Roman" w:cs="Times New Roman"/>
          <w:sz w:val="24"/>
          <w:szCs w:val="24"/>
        </w:rPr>
        <w:t>O</w:t>
      </w:r>
      <w:r w:rsidRPr="00105996">
        <w:rPr>
          <w:rFonts w:ascii="Times New Roman" w:hAnsi="Times New Roman" w:cs="Times New Roman"/>
          <w:sz w:val="24"/>
          <w:szCs w:val="24"/>
        </w:rPr>
        <w:t>RA RAZVOJU DRUŠTVENE I REKREACIJSKE INFRASTRUKTURE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:rsidR="008B0E7E" w:rsidRPr="00105996" w:rsidRDefault="003967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996">
        <w:rPr>
          <w:rFonts w:ascii="Times New Roman" w:hAnsi="Times New Roman" w:cs="Times New Roman"/>
          <w:sz w:val="24"/>
          <w:szCs w:val="24"/>
        </w:rPr>
        <w:t>2.1.1</w:t>
      </w:r>
      <w:r w:rsidR="00841947" w:rsidRPr="00105996">
        <w:rPr>
          <w:rFonts w:ascii="Times New Roman" w:hAnsi="Times New Roman" w:cs="Times New Roman"/>
          <w:sz w:val="24"/>
          <w:szCs w:val="24"/>
        </w:rPr>
        <w:t>.</w:t>
      </w:r>
      <w:r w:rsidRPr="00105996">
        <w:rPr>
          <w:rFonts w:ascii="Times New Roman" w:hAnsi="Times New Roman" w:cs="Times New Roman"/>
          <w:sz w:val="24"/>
          <w:szCs w:val="24"/>
        </w:rPr>
        <w:t xml:space="preserve"> RAZVOJ OPĆE DRUŠTVENE INFRASTRUKTURE U SVRHU PODIZANJA KVALITETE ŽIVOTA STANOVNIKA LAG-a</w:t>
      </w:r>
    </w:p>
    <w:p w:rsidR="00722F5F" w:rsidRPr="00841947" w:rsidRDefault="00722F5F" w:rsidP="008A64B2">
      <w:pPr>
        <w:spacing w:after="0"/>
        <w:jc w:val="both"/>
        <w:rPr>
          <w:rFonts w:ascii="Times New Roman" w:hAnsi="Times New Roman" w:cs="Times New Roman"/>
          <w:sz w:val="12"/>
          <w:szCs w:val="24"/>
        </w:rPr>
      </w:pPr>
    </w:p>
    <w:p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:rsidR="008B0E7E" w:rsidRDefault="00392C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41947" w:rsidTr="00841947">
        <w:trPr>
          <w:trHeight w:val="427"/>
        </w:trPr>
        <w:tc>
          <w:tcPr>
            <w:tcW w:w="9628" w:type="dxa"/>
            <w:vAlign w:val="bottom"/>
          </w:tcPr>
          <w:p w:rsidR="008B0E7E" w:rsidRDefault="00565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Zagrebačka županija</w:t>
            </w:r>
          </w:p>
        </w:tc>
      </w:tr>
    </w:tbl>
    <w:p w:rsidR="00841947" w:rsidRPr="00841947" w:rsidRDefault="00841947" w:rsidP="0093730F">
      <w:pPr>
        <w:jc w:val="both"/>
        <w:rPr>
          <w:rFonts w:ascii="Times New Roman" w:hAnsi="Times New Roman" w:cs="Times New Roman"/>
          <w:sz w:val="12"/>
          <w:szCs w:val="24"/>
        </w:rPr>
      </w:pPr>
    </w:p>
    <w:p w:rsidR="008B0E7E" w:rsidRDefault="00392C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41947" w:rsidTr="00841947">
        <w:trPr>
          <w:trHeight w:val="376"/>
        </w:trPr>
        <w:tc>
          <w:tcPr>
            <w:tcW w:w="9628" w:type="dxa"/>
            <w:tcBorders>
              <w:top w:val="nil"/>
              <w:left w:val="nil"/>
              <w:right w:val="nil"/>
            </w:tcBorders>
            <w:vAlign w:val="bottom"/>
          </w:tcPr>
          <w:p w:rsidR="008B0E7E" w:rsidRDefault="00565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Ivanić - Grad</w:t>
            </w:r>
          </w:p>
        </w:tc>
      </w:tr>
    </w:tbl>
    <w:p w:rsidR="00841947" w:rsidRPr="00841947" w:rsidRDefault="00841947" w:rsidP="0093730F">
      <w:pPr>
        <w:jc w:val="both"/>
        <w:rPr>
          <w:rFonts w:ascii="Times New Roman" w:hAnsi="Times New Roman" w:cs="Times New Roman"/>
          <w:sz w:val="12"/>
          <w:szCs w:val="24"/>
        </w:rPr>
      </w:pPr>
    </w:p>
    <w:p w:rsidR="008B0E7E" w:rsidRDefault="00D647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19"/>
      </w:tblGrid>
      <w:tr w:rsidR="00841947" w:rsidTr="00841947">
        <w:trPr>
          <w:trHeight w:val="397"/>
        </w:trPr>
        <w:tc>
          <w:tcPr>
            <w:tcW w:w="9619" w:type="dxa"/>
            <w:vAlign w:val="bottom"/>
          </w:tcPr>
          <w:p w:rsidR="008B0E7E" w:rsidRDefault="00565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Graberje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Ivanićko</w:t>
            </w:r>
          </w:p>
        </w:tc>
      </w:tr>
      <w:tr w:rsidR="00841947" w:rsidTr="00841947">
        <w:trPr>
          <w:trHeight w:val="397"/>
        </w:trPr>
        <w:tc>
          <w:tcPr>
            <w:tcW w:w="9619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E7E" w:rsidRDefault="00392C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:rsidR="008B0E7E" w:rsidRDefault="003E2D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72318C" w:rsidRDefault="002B2F9E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.6pt;margin-top:4.9pt;width:465.4pt;height:196pt;z-index:251658240">
            <v:textbox style="mso-next-textbox:#_x0000_s1031">
              <w:txbxContent>
                <w:p w:rsidR="0072318C" w:rsidRPr="0072318C" w:rsidRDefault="008F532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Cilj projekta je izgraditi i opremiti dječje igralište uz Osnovnu školu Josipa Badalića u naselju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Graberje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Ivanićko. Naselje ima 664 stanovnika, a nalazi se u sastavu Grada Ivanić – Grada u Zagrebačkoj županiji. Prostor dječjeg igrališta uz Osnovnu školu Josipa Badalića prvenstveno je namijenjen za igru i zabavu djece, ali i kao poticajno okruženje za razvoj čitav niz tjelesnih i mentalnih sposobnosti. Osim djece koja čine primarnu ciljnu skupinu ovdje su ciljna skupina i mladi roditelji koji žive u naselju. Projektom će se povećati kvaliteta života stanovnika naselja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Graberje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Ivanićko i stvoriti kvalitetniji uvjeti za ostanak mladih bračnih parova u ruralnim sredinama.</w:t>
                  </w:r>
                </w:p>
              </w:txbxContent>
            </v:textbox>
          </v:shape>
        </w:pict>
      </w: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2318C" w:rsidRDefault="0072318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24291" w:rsidRDefault="00024291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24291" w:rsidRDefault="00024291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841947" w:rsidRDefault="002B2F9E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35" type="#_x0000_t202" style="position:absolute;left:0;text-align:left;margin-left:.9pt;margin-top:1.6pt;width:472.15pt;height:176.75pt;z-index:251659264">
            <v:textbox>
              <w:txbxContent>
                <w:p w:rsidR="00841947" w:rsidRDefault="009A17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Očekivan rezultat projekta je izgrađeno i opremljeno dječje igralište  na površini od 650 m2.</w:t>
                  </w:r>
                </w:p>
                <w:p w:rsidR="009A1779" w:rsidRDefault="009A17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Mjerljivi indikatori:</w:t>
                  </w:r>
                </w:p>
                <w:p w:rsidR="009A1779" w:rsidRDefault="001937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Izgrađeno dječje igralište</w:t>
                  </w:r>
                  <w:r w:rsidR="009A17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početna vrijednost 0, ciljana vrijednost 650 m2 </w:t>
                  </w:r>
                </w:p>
                <w:p w:rsidR="001937E8" w:rsidRDefault="001937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Opremljeno dječje igralište spravama za igru – početna vrijednost 0, ciljana vrijednost 4</w:t>
                  </w:r>
                </w:p>
                <w:p w:rsidR="001937E8" w:rsidRDefault="001937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Hortikulturno uređene površine travnjaka – početna vrijednost 0, ciljana vrijednost 224 m2</w:t>
                  </w:r>
                </w:p>
                <w:p w:rsidR="001937E8" w:rsidRDefault="001937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Zasađena stabla i grmlje –početna vrijednost 0, ciljana vrijednost 12</w:t>
                  </w:r>
                </w:p>
                <w:p w:rsidR="001937E8" w:rsidRDefault="001937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41947" w:rsidRDefault="00841947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947" w:rsidRDefault="00841947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947" w:rsidRDefault="00841947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947" w:rsidRDefault="00841947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947" w:rsidRDefault="00841947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947" w:rsidRDefault="00841947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0E7E" w:rsidRDefault="008B0E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</w:t>
      </w:r>
      <w:r w:rsidR="00F42D65" w:rsidRPr="00683668">
        <w:rPr>
          <w:rFonts w:ascii="Calibri" w:eastAsia="Times New Roman" w:hAnsi="Calibri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683668" w:rsidRPr="00683668">
        <w:rPr>
          <w:rFonts w:ascii="Calibri" w:eastAsia="Times New Roman" w:hAnsi="Calibri" w:cs="Times New Roman"/>
          <w:sz w:val="20"/>
          <w:szCs w:val="20"/>
          <w:lang w:eastAsia="ar-SA"/>
        </w:rPr>
        <w:instrText xml:space="preserve"> FORMCHECKBOX </w:instrText>
      </w:r>
      <w:r w:rsidR="00F42D65" w:rsidRPr="00683668">
        <w:rPr>
          <w:rFonts w:ascii="Calibri" w:eastAsia="Times New Roman" w:hAnsi="Calibri" w:cs="Times New Roman"/>
          <w:sz w:val="20"/>
          <w:szCs w:val="20"/>
          <w:lang w:eastAsia="ar-SA"/>
        </w:rPr>
      </w:r>
      <w:r w:rsidR="00F42D65" w:rsidRPr="00683668">
        <w:rPr>
          <w:rFonts w:ascii="Calibri" w:eastAsia="Times New Roman" w:hAnsi="Calibri" w:cs="Times New Roman"/>
          <w:sz w:val="20"/>
          <w:szCs w:val="20"/>
          <w:lang w:eastAsia="ar-SA"/>
        </w:rPr>
        <w:fldChar w:fldCharType="end"/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 </w:t>
      </w:r>
      <w:r w:rsidR="00683668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370C6">
        <w:rPr>
          <w:rFonts w:ascii="Calibri" w:eastAsia="Times New Roman" w:hAnsi="Calibri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 w:val="22"/>
              <w:default w:val="1"/>
            </w:checkBox>
          </w:ffData>
        </w:fldChar>
      </w:r>
      <w:r w:rsidR="00E370C6">
        <w:rPr>
          <w:rFonts w:ascii="Calibri" w:eastAsia="Times New Roman" w:hAnsi="Calibri" w:cs="Times New Roman"/>
          <w:sz w:val="20"/>
          <w:szCs w:val="20"/>
          <w:lang w:eastAsia="ar-SA"/>
        </w:rPr>
        <w:instrText xml:space="preserve"> FORMCHECKBOX </w:instrText>
      </w:r>
      <w:r w:rsidR="00E370C6">
        <w:rPr>
          <w:rFonts w:ascii="Calibri" w:eastAsia="Times New Roman" w:hAnsi="Calibri" w:cs="Times New Roman"/>
          <w:sz w:val="20"/>
          <w:szCs w:val="20"/>
          <w:lang w:eastAsia="ar-SA"/>
        </w:rPr>
      </w:r>
      <w:r w:rsidR="00E370C6">
        <w:rPr>
          <w:rFonts w:ascii="Calibri" w:eastAsia="Times New Roman" w:hAnsi="Calibri" w:cs="Times New Roman"/>
          <w:sz w:val="20"/>
          <w:szCs w:val="20"/>
          <w:lang w:eastAsia="ar-SA"/>
        </w:rPr>
        <w:fldChar w:fldCharType="end"/>
      </w:r>
      <w:r w:rsidR="00683668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683668">
        <w:rPr>
          <w:rFonts w:ascii="Times New Roman" w:eastAsia="Calibri" w:hAnsi="Times New Roman" w:cs="Times New Roman"/>
          <w:i/>
          <w:iCs/>
          <w:sz w:val="24"/>
          <w:szCs w:val="24"/>
        </w:rPr>
        <w:t>Označiti</w:t>
      </w:r>
      <w:r w:rsidR="00683668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odgovor koji je primjenjiv za projekt)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683668" w:rsidRDefault="002B2F9E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36" type="#_x0000_t202" style="position:absolute;left:0;text-align:left;margin-left:.9pt;margin-top:-4.35pt;width:468.9pt;height:267.2pt;z-index:251660288">
            <v:textbox>
              <w:txbxContent>
                <w:p w:rsidR="00683668" w:rsidRPr="00683668" w:rsidRDefault="006836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8B0E7E" w:rsidRDefault="00001FE1">
      <w:pPr>
        <w:spacing w:before="240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p w:rsidR="008B0E7E" w:rsidRDefault="008B0E7E">
      <w:pPr>
        <w:spacing w:before="240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:rsidTr="008A64B2">
        <w:trPr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tvarenja kriterija odabira broj</w:t>
      </w:r>
      <w:r w:rsidR="007903C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3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:rsidR="00683668" w:rsidRDefault="00683668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6BFE" w:rsidRDefault="009D6BFE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6BFE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="003967B5" w:rsidRPr="003967B5">
        <w:rPr>
          <w:rFonts w:ascii="Times New Roman" w:hAnsi="Times New Roman" w:cs="Times New Roman"/>
          <w:i/>
          <w:sz w:val="24"/>
          <w:szCs w:val="24"/>
        </w:rPr>
        <w:t>2.1.1 „Razvoj opće društvene infrastrukture u svrhu podizanja kvalitete života stanovnika LAG-a“</w:t>
      </w:r>
      <w:r w:rsidR="009D6BFE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3668" w:rsidTr="00683668">
        <w:trPr>
          <w:trHeight w:val="400"/>
        </w:trPr>
        <w:tc>
          <w:tcPr>
            <w:tcW w:w="9628" w:type="dxa"/>
            <w:vAlign w:val="bottom"/>
          </w:tcPr>
          <w:p w:rsidR="008B0E7E" w:rsidRPr="00F616D2" w:rsidRDefault="00F61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D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904DAD" w:rsidRPr="00F616D2">
              <w:rPr>
                <w:rFonts w:ascii="Times New Roman" w:hAnsi="Times New Roman" w:cs="Times New Roman"/>
                <w:sz w:val="24"/>
                <w:szCs w:val="24"/>
              </w:rPr>
              <w:t>Mjeseci</w:t>
            </w:r>
          </w:p>
        </w:tc>
      </w:tr>
    </w:tbl>
    <w:p w:rsidR="00683668" w:rsidRDefault="00683668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61F7" w:rsidRDefault="006B61F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61F7" w:rsidRDefault="0066691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666910">
        <w:drawing>
          <wp:inline distT="0" distB="0" distL="0" distR="0" wp14:anchorId="46274289" wp14:editId="6B304F3E">
            <wp:extent cx="5976620" cy="2042445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204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:rsidR="00683668" w:rsidRDefault="002B2F9E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37" type="#_x0000_t202" style="position:absolute;left:0;text-align:left;margin-left:-.05pt;margin-top:.65pt;width:471.7pt;height:184.2pt;z-index:251661312">
            <v:textbox>
              <w:txbxContent>
                <w:p w:rsidR="00683668" w:rsidRDefault="008016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Glavne aktivnosti provedbe projekta:</w:t>
                  </w:r>
                </w:p>
                <w:p w:rsidR="0080165A" w:rsidRDefault="0080165A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16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Nabava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80165A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Jednostavna (bagatelna) nabava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,</w:t>
                  </w:r>
                  <w:r w:rsidRPr="00801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prikupljanje ponuda za radove i opremanje, obrada ponuda, ugovaranje</w:t>
                  </w:r>
                  <w:r w:rsidR="007A4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80165A" w:rsidRDefault="0080165A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16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Nadzor radova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(Prikupljanje ponuda za nadzor, ugovaranje)</w:t>
                  </w:r>
                </w:p>
                <w:p w:rsidR="0080165A" w:rsidRDefault="0080165A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Vidljivost projekta</w:t>
                  </w:r>
                </w:p>
                <w:p w:rsidR="0080165A" w:rsidRPr="0056459A" w:rsidRDefault="00B74A12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74A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Radovi izgradnje i opremanja sukladno glavnom projektu</w:t>
                  </w:r>
                  <w:r w:rsidR="005645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r w:rsidR="005645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pripremni radovi, radovi rušenja i demontaže, zemljani radovi, betonski i armirano-betonski radovi, oprema, hortikulturno uređenje)</w:t>
                  </w:r>
                </w:p>
                <w:p w:rsidR="0056459A" w:rsidRDefault="0056459A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Tehnički pregled i primopredaja radova</w:t>
                  </w:r>
                </w:p>
                <w:p w:rsidR="0056459A" w:rsidRDefault="0056459A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Vođenje projekta</w:t>
                  </w:r>
                </w:p>
                <w:p w:rsidR="00B74A12" w:rsidRPr="00B74A12" w:rsidRDefault="00B74A12" w:rsidP="0080165A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83668" w:rsidRDefault="00683668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3668" w:rsidRDefault="00683668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964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732F76" w:rsidTr="00732F76">
        <w:trPr>
          <w:trHeight w:val="397"/>
        </w:trPr>
        <w:tc>
          <w:tcPr>
            <w:tcW w:w="9647" w:type="dxa"/>
            <w:vAlign w:val="bottom"/>
          </w:tcPr>
          <w:p w:rsidR="008B0E7E" w:rsidRDefault="00904DAD" w:rsidP="005E1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B744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ješeni su imovinsko – pravni odnosi, izrađen je glavni projekt</w:t>
            </w:r>
            <w:r w:rsidR="00CA2998">
              <w:rPr>
                <w:rFonts w:ascii="Times New Roman" w:hAnsi="Times New Roman" w:cs="Times New Roman"/>
                <w:sz w:val="24"/>
                <w:szCs w:val="24"/>
              </w:rPr>
              <w:t xml:space="preserve"> s troškovnikom radova i opreme, ishođen je akt prema propisima kojima se uređuje zaštita okoliša i prirode.</w:t>
            </w:r>
          </w:p>
        </w:tc>
      </w:tr>
      <w:tr w:rsidR="00732F76" w:rsidTr="00732F76">
        <w:trPr>
          <w:trHeight w:val="397"/>
        </w:trPr>
        <w:tc>
          <w:tcPr>
            <w:tcW w:w="9647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100.000 eura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32F76" w:rsidTr="00732F76">
        <w:trPr>
          <w:trHeight w:val="474"/>
        </w:trPr>
        <w:tc>
          <w:tcPr>
            <w:tcW w:w="9628" w:type="dxa"/>
            <w:vAlign w:val="bottom"/>
          </w:tcPr>
          <w:p w:rsidR="008B0E7E" w:rsidRPr="001649A8" w:rsidRDefault="00FB5E0C" w:rsidP="00766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9A8">
              <w:rPr>
                <w:rFonts w:ascii="Times New Roman" w:hAnsi="Times New Roman" w:cs="Times New Roman"/>
                <w:sz w:val="24"/>
                <w:szCs w:val="24"/>
              </w:rPr>
              <w:t>Ukupna vrijednost projekta iznosi 37</w:t>
            </w:r>
            <w:r w:rsidR="006C1CC2" w:rsidRPr="001649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666AF" w:rsidRPr="001649A8">
              <w:rPr>
                <w:rFonts w:ascii="Times New Roman" w:hAnsi="Times New Roman" w:cs="Times New Roman"/>
                <w:sz w:val="24"/>
                <w:szCs w:val="24"/>
              </w:rPr>
              <w:t>357,75</w:t>
            </w:r>
            <w:r w:rsidRPr="001649A8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</w:tbl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2C8A" w:rsidRDefault="00B52C8A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</w:t>
      </w:r>
      <w:r w:rsidR="005E0BDE" w:rsidRPr="005E0BDE">
        <w:rPr>
          <w:rFonts w:ascii="Times New Roman" w:hAnsi="Times New Roman" w:cs="Times New Roman"/>
          <w:i/>
          <w:color w:val="000000"/>
          <w:sz w:val="24"/>
          <w:szCs w:val="24"/>
        </w:rPr>
        <w:t>o provedbi mjere 7 »Temeljne usluge i obnova sela u ruralnim područjima« iz Programa ruralnog razvoja Republike Hrvatske za razdoblje 2014. – 2020.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(NN 48/18)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32F76" w:rsidTr="00732F76">
        <w:trPr>
          <w:trHeight w:val="500"/>
        </w:trPr>
        <w:tc>
          <w:tcPr>
            <w:tcW w:w="9628" w:type="dxa"/>
            <w:vAlign w:val="bottom"/>
          </w:tcPr>
          <w:p w:rsidR="008B0E7E" w:rsidRDefault="00FB5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Aktivnosti građenja nisu započele.</w:t>
            </w:r>
          </w:p>
        </w:tc>
      </w:tr>
    </w:tbl>
    <w:p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:rsidR="00BD6C4C" w:rsidRDefault="00BD6C4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:rsidR="00732F76" w:rsidRDefault="0070240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hr-HR"/>
        </w:rPr>
        <w:pict>
          <v:shape id="_x0000_s1038" type="#_x0000_t202" style="position:absolute;left:0;text-align:left;margin-left:2.15pt;margin-top:17.6pt;width:467.55pt;height:102.8pt;z-index:251662336">
            <v:textbox>
              <w:txbxContent>
                <w:p w:rsidR="00732F76" w:rsidRPr="00732F76" w:rsidRDefault="000543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Ciljna skupina projekta je lokalno stanovništvo naselja</w:t>
                  </w:r>
                  <w:r w:rsidR="00BB74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Graberje Ivanićko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područja grada Ivanić – Grada. Posebno se izdvajaju kao krajnji korisnici djeca školske i predškolske dobi, zatim su to mladi i mlade obitelji s malom djecom.</w:t>
                  </w:r>
                  <w:r w:rsidR="00317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Osim navedenih ciljnih skupina</w:t>
                  </w:r>
                  <w:r w:rsidR="002359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infrastrukturu</w:t>
                  </w:r>
                  <w:r w:rsidR="00317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iz</w:t>
                  </w:r>
                  <w:r w:rsidR="002359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građenu</w:t>
                  </w:r>
                  <w:r w:rsidR="00317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projekt</w:t>
                  </w:r>
                  <w:r w:rsidR="002359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om koristiti će i posjetitelji, turisti posebice oni</w:t>
                  </w:r>
                  <w:r w:rsidR="00317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 malom djecom.</w:t>
                  </w:r>
                </w:p>
              </w:txbxContent>
            </v:textbox>
          </v:shape>
        </w:pict>
      </w:r>
    </w:p>
    <w:p w:rsidR="00732F76" w:rsidRDefault="00732F7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24291" w:rsidRDefault="0002429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732F76" w:rsidRDefault="002B2F9E" w:rsidP="006A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39" type="#_x0000_t202" style="position:absolute;margin-left:-.5pt;margin-top:1.9pt;width:471.7pt;height:195.7pt;z-index:251663360">
            <v:textbox>
              <w:txbxContent>
                <w:p w:rsidR="00732F76" w:rsidRPr="00F43EFB" w:rsidRDefault="00EB2C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Realizacijom projekta doprinosi se povećanju kvalitete života lokalnog stanovništva grada Ivanić – Grada, a posebice stanovnicima naselja Graberje Ivanićko. Povećava se opća kvaliteta života, stvaraju se bolji uvjeti za ostanak i život mladih bračnih parova s malom djecom, stvara se pozitivan imidž naselja i Grada. Realizacijom projekta pridonosi se zadovoljenju potreba građana u području zaštite i unaprijeđenija kvalitete življenja te se zadovoljavaju potrebe ciljnih skupina. Indirektno se utječe na ostanak stanovništva na domicilnom području te na ravnomjeran razvoj ruralne sredine  u odnosu na urbane sredine.</w:t>
                  </w:r>
                  <w:r w:rsidR="00CA0E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</w:t>
                  </w:r>
                  <w:r w:rsidR="00CA0E11" w:rsidRPr="00CA0E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oboljšanje društvene infrastrukture koja doprinosi kvaliteti života stanovnika LAG-a i zadržavanju istih u ruralnim prostorima Moslavine.</w:t>
                  </w:r>
                </w:p>
              </w:txbxContent>
            </v:textbox>
          </v:shape>
        </w:pict>
      </w: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6A742D">
      <w:pPr>
        <w:rPr>
          <w:rFonts w:ascii="Times New Roman" w:hAnsi="Times New Roman" w:cs="Times New Roman"/>
          <w:sz w:val="24"/>
          <w:szCs w:val="24"/>
        </w:rPr>
      </w:pPr>
    </w:p>
    <w:p w:rsidR="008B0E7E" w:rsidRPr="00024291" w:rsidRDefault="008B0E7E">
      <w:pPr>
        <w:rPr>
          <w:rFonts w:ascii="Times New Roman" w:hAnsi="Times New Roman" w:cs="Times New Roman"/>
          <w:sz w:val="12"/>
          <w:szCs w:val="24"/>
        </w:rPr>
      </w:pPr>
    </w:p>
    <w:p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:rsidR="00732F76" w:rsidRDefault="002B2F9E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0" type="#_x0000_t202" style="position:absolute;left:0;text-align:left;margin-left:-.5pt;margin-top:2.25pt;width:464.3pt;height:217.8pt;z-index:251664384">
            <v:textbox>
              <w:txbxContent>
                <w:p w:rsidR="00732F76" w:rsidRPr="00732F76" w:rsidRDefault="00B927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Nije primjenjivo.</w:t>
                  </w:r>
                </w:p>
              </w:txbxContent>
            </v:textbox>
          </v:shape>
        </w:pict>
      </w: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:rsidR="00732F76" w:rsidRDefault="002B2F9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1" type="#_x0000_t202" style="position:absolute;left:0;text-align:left;margin-left:-.05pt;margin-top:1.05pt;width:468.95pt;height:232.65pt;z-index:251665408">
            <v:textbox>
              <w:txbxContent>
                <w:p w:rsidR="00732F76" w:rsidRPr="00732F76" w:rsidRDefault="00B927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Nije primjenjivo.</w:t>
                  </w:r>
                </w:p>
              </w:txbxContent>
            </v:textbox>
          </v:shape>
        </w:pict>
      </w: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Pr="00024291" w:rsidRDefault="00732F76" w:rsidP="0093730F">
      <w:pPr>
        <w:jc w:val="both"/>
        <w:rPr>
          <w:rFonts w:ascii="Times New Roman" w:hAnsi="Times New Roman" w:cs="Times New Roman"/>
          <w:sz w:val="12"/>
          <w:szCs w:val="24"/>
        </w:rPr>
      </w:pPr>
    </w:p>
    <w:p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:rsidR="00105A7C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:rsidR="00C618E5" w:rsidRDefault="00C618E5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8E5" w:rsidRDefault="00C618E5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8E5" w:rsidRDefault="00C618E5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2831" w:rsidRDefault="00C618E5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8E5">
        <w:drawing>
          <wp:inline distT="0" distB="0" distL="0" distR="0" wp14:anchorId="7293476E" wp14:editId="17283E40">
            <wp:extent cx="5962473" cy="3981450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399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5C8" w:rsidRPr="00024291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:rsidR="006F62F9" w:rsidRPr="008A64B2" w:rsidRDefault="00DA3A45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3" type="#_x0000_t202" style="position:absolute;left:0;text-align:left;margin-left:-2.35pt;margin-top:116.65pt;width:470.35pt;height:242.8pt;z-index:251667456">
            <v:textbox>
              <w:txbxContent>
                <w:p w:rsidR="00732F76" w:rsidRPr="00732F76" w:rsidRDefault="00B5749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7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Grad Ivanić-Grad ima provedbene kapacitete i relevantno iskustvo u izradi i provedbi projekata (kako iz EU, tako i iz drugih izvora) što osigurava pravovremenu i uspješnu provedbu projekta u skladu s planiranim aktivnostima i ugovornim obvezama. Tim za upravljanje projektom sastoji se od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četiri člana, </w:t>
                  </w:r>
                  <w:r w:rsidRPr="00B57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voditelja i koordinatora projekta, financijskog administratora i tehničkog administratora. Tim za provedbu projekta sastoji se od četvero djelatnika s višegodišnjim iskustvom na provedbi različitih projekata: ENGAGE (IEE), ENCRO (IPA), RE-SEETIES (SEE), Europski tjedan kretanja (EMW). Upravljanje i  koordinaciju  projektom provoditi će djelatnici Upravnog odjela za financije, gospodarstvo, komunalne djelatnosti i prostorno planiranje uz stručnu podršku Razvojne agencije  Ivanić – Grad.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Članovi projek</w:t>
                  </w:r>
                  <w:r w:rsidR="002118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nog tima su 2 diplomirana ekonomista, jedan inženjer građevine i dipl. ing. arhitekture.</w:t>
                  </w:r>
                  <w:r w:rsidRPr="00B57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Voditelj projekta je voditelj Odsjek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 w:rsidRPr="00B57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za komunalne djelatnosti, komunalnu infrastrukturu i prostorno planiranje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koja posjeduje više od 1</w:t>
                  </w:r>
                  <w:r w:rsidRPr="00B57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godina radnog iskustva, kao i relevantno iskustvo u pripremi i provedbi projekata iz različitih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EU programa </w:t>
                  </w:r>
                  <w:r w:rsidRPr="00B57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 posjeduje svu potrebnu opremu i ljudske kapacitete za upravljanje projektima ove vrste.</w:t>
                  </w:r>
                </w:p>
              </w:txbxContent>
            </v:textbox>
          </v:shape>
        </w:pic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9D6BFE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="003967B5" w:rsidRPr="003967B5">
        <w:rPr>
          <w:rFonts w:ascii="Times New Roman" w:hAnsi="Times New Roman" w:cs="Times New Roman"/>
          <w:i/>
          <w:sz w:val="24"/>
          <w:szCs w:val="24"/>
        </w:rPr>
        <w:t>2.1.1 „Razvoj opće društvene infrastrukture u svrhu podizanja kvalitete života stanovnika LAG-a“</w:t>
      </w: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:rsidR="00732F76" w:rsidRDefault="002B2F9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4" type="#_x0000_t202" style="position:absolute;left:0;text-align:left;margin-left:.4pt;margin-top:1.05pt;width:465.25pt;height:379.45pt;z-index:251668480">
            <v:textbox>
              <w:txbxContent>
                <w:p w:rsidR="00513C3D" w:rsidRPr="00513C3D" w:rsidRDefault="00513C3D" w:rsidP="00513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Dječje igralište</w:t>
                  </w: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kao javna infrastruktura bit će izgrađen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opremljeno</w:t>
                  </w: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aktivnom provedbom Projekta. Nakon završetka, obzirom da je to dio javne infrastrukture, o istoj će se brinuti Grad Ivanić-Grad što je i dužan sukladno Zakonu o  komunalnom gospodarstvu (NN 36/95, 70/97, 128/99, 57/00, 129/00, 59/01, 26/03, 82/04, 110/04, 178/04, 38/09, 79/09, 153/09, 49/11, 84/11, 90/11, 144/12, 94/13, 153/13, 147/14, 36/15) članak 6. Održavanje svih projektom nastalih rezultata provoditi će se sukladno Programu održavanja komunalne infrastrukture Grada Ivanić – Grada koji se donosi za svaku godinu. Temeljem donesenog plana održavanja Grad je u proračunu </w:t>
                  </w:r>
                  <w:r w:rsidR="00F46E6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 u projekcijama proračuna za buduće razdoblje </w:t>
                  </w: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osigurao financijska sredstva za održavanje projektom izgrađene infrastrukture i opreme. Održavanje infrastrukture i opreme koja će nastati ovim projektom vršiti će gradsko komunalno društvo Komunalni centar Ivanić-Grad d.o.o.</w:t>
                  </w:r>
                </w:p>
                <w:p w:rsidR="00513C3D" w:rsidRPr="00513C3D" w:rsidRDefault="00513C3D" w:rsidP="00513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Redovito održavanje odnosi se na održavanje u graditeljskom i funkcionalnom stanju i to:</w:t>
                  </w:r>
                </w:p>
                <w:p w:rsidR="00513C3D" w:rsidRPr="00513C3D" w:rsidRDefault="00946CBF" w:rsidP="00513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održavanje</w:t>
                  </w:r>
                  <w:r w:rsidR="00513C3D"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opreme</w:t>
                  </w:r>
                </w:p>
                <w:p w:rsidR="00513C3D" w:rsidRPr="00513C3D" w:rsidRDefault="00513C3D" w:rsidP="00513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održavanje i njegovanje krajobraznog  uređenja </w:t>
                  </w:r>
                </w:p>
                <w:p w:rsidR="00513C3D" w:rsidRPr="00513C3D" w:rsidRDefault="00513C3D" w:rsidP="00513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redoviti servisi</w:t>
                  </w:r>
                </w:p>
                <w:p w:rsidR="00513C3D" w:rsidRPr="00513C3D" w:rsidRDefault="00513C3D" w:rsidP="00513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Grad Ivanić – Grad u svom proračunu za 2018. i 2019. godinu predvidio je financijska sredstva  za održavanje projektom nastale infrastrukture i svih projektnih rezultata. Ukupna osigurana sredstva za održavanje u 2018.g. iznose </w:t>
                  </w:r>
                  <w:r w:rsidR="0068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375.000,00 kn</w:t>
                  </w: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u 2019.g. iznose </w:t>
                  </w:r>
                  <w:r w:rsidR="006808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375.000,00</w:t>
                  </w:r>
                  <w:r w:rsidRPr="00513C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kuna.</w:t>
                  </w:r>
                </w:p>
                <w:p w:rsidR="00732F76" w:rsidRPr="00732F76" w:rsidRDefault="00732F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91" w:rsidRDefault="00024291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88714E" w:rsidRDefault="0088714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93" w:type="dxa"/>
        <w:tblLook w:val="04A0" w:firstRow="1" w:lastRow="0" w:firstColumn="1" w:lastColumn="0" w:noHBand="0" w:noVBand="1"/>
      </w:tblPr>
      <w:tblGrid>
        <w:gridCol w:w="3615"/>
        <w:gridCol w:w="1176"/>
        <w:gridCol w:w="1176"/>
        <w:gridCol w:w="1176"/>
        <w:gridCol w:w="1176"/>
        <w:gridCol w:w="1176"/>
      </w:tblGrid>
      <w:tr w:rsidR="00550092" w:rsidRPr="00550092" w:rsidTr="00550092">
        <w:trPr>
          <w:trHeight w:val="615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održavanja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Dječjeg igrališta 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Graberju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Ivanićkom</w:t>
            </w:r>
          </w:p>
        </w:tc>
      </w:tr>
      <w:tr w:rsidR="00550092" w:rsidRPr="00550092" w:rsidTr="00550092">
        <w:trPr>
          <w:trHeight w:val="30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0092" w:rsidRPr="00550092" w:rsidTr="00550092">
        <w:trPr>
          <w:trHeight w:val="66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Zimska služba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</w:tr>
      <w:tr w:rsidR="00550092" w:rsidRPr="00550092" w:rsidTr="00550092">
        <w:trPr>
          <w:trHeight w:val="57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Radovi čišćenja, pranja i bojanja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9D1B91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65BE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</w:tr>
      <w:tr w:rsidR="00550092" w:rsidRPr="00550092" w:rsidTr="00550092">
        <w:trPr>
          <w:trHeight w:val="60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 xml:space="preserve">Radovi održavanja krajobraza 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br/>
              <w:t>i travnjaka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EB65BE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</w:tr>
      <w:tr w:rsidR="00550092" w:rsidRPr="00550092" w:rsidTr="00550092">
        <w:trPr>
          <w:trHeight w:val="615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 xml:space="preserve">Ostali radovi održavanja </w:t>
            </w:r>
            <w:r w:rsidRPr="00550092">
              <w:rPr>
                <w:rFonts w:ascii="Times New Roman" w:hAnsi="Times New Roman" w:cs="Times New Roman"/>
                <w:sz w:val="24"/>
                <w:szCs w:val="24"/>
              </w:rPr>
              <w:br/>
              <w:t>infrastrukture i opreme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0092" w:rsidRPr="0055009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0092" w:rsidRPr="0055009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27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50092" w:rsidRPr="0055009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0092" w:rsidRPr="0055009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0092" w:rsidRPr="0055009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550092" w:rsidRPr="00550092" w:rsidTr="00550092">
        <w:trPr>
          <w:trHeight w:val="63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50092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2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76A3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76A3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76A3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76A3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550092" w:rsidRPr="00550092" w:rsidRDefault="005617BB" w:rsidP="0055009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276A3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</w:tbl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46E63" w:rsidRDefault="00F46E63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, a koji su uključeni u održavanje i upravljanje realiziranim projektom u razdoblju od najmanje pet godina od dana konačne isplate sredstava iz </w:t>
      </w:r>
      <w:r w:rsidR="009D6BFE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="009D6BFE">
        <w:rPr>
          <w:rFonts w:ascii="Times New Roman" w:hAnsi="Times New Roman" w:cs="Times New Roman"/>
          <w:sz w:val="24"/>
          <w:szCs w:val="24"/>
        </w:rPr>
        <w:t>2</w:t>
      </w:r>
      <w:r w:rsidR="003967B5" w:rsidRPr="003967B5">
        <w:rPr>
          <w:rFonts w:ascii="Times New Roman" w:hAnsi="Times New Roman" w:cs="Times New Roman"/>
          <w:i/>
          <w:sz w:val="24"/>
          <w:szCs w:val="24"/>
        </w:rPr>
        <w:t>.1.1 „Razvoj opće društvene infrastrukture u svrhu podizanja kvalitete života stanovnika LAG-a“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:rsidR="00732F76" w:rsidRDefault="002B2F9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5" type="#_x0000_t202" style="position:absolute;left:0;text-align:left;margin-left:.4pt;margin-top:1.15pt;width:468.95pt;height:406.5pt;z-index:251669504">
            <v:textbox style="mso-next-textbox:#_x0000_s1045">
              <w:txbxContent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Grad Ivanić Grad kao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jedinica lokalne samouprave</w:t>
                  </w: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ima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Ugovorom o zakupu od  04.10.2018. s vlasnikom nekretnine obvezu upravljanja nekretninom </w:t>
                  </w: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 obvezu financiranja održavanja projektom izgrađene infrastrukture</w:t>
                  </w:r>
                  <w:r w:rsidR="004238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u roku 11 od dana potpisivanja ugovora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Grad Ivanić – Grad upravljati će projektom </w:t>
                  </w: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pet godina od završetka investicije što je i dužan  temeljem Odluke Gradskog vijeća (Sl. glasnik 2-2014.) o načinu upravljanja i održavanju objekata u javnoj funkciji, a time je ujedno zadovoljen i uvjeti iz </w:t>
                  </w:r>
                  <w:r w:rsidRPr="00E656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Pravilnika o provedbi mjere 07 »temeljne usluge i obnova sela u ruralnim područjima« iz programa ruralnog razvoja republike hrvatske za razdoblje 2014. – 2020.. 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Odluka propisuje</w:t>
                  </w:r>
                  <w:r w:rsidRPr="004238A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: </w:t>
                  </w:r>
                  <w:r w:rsidR="004238AF" w:rsidRPr="004238A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(Izvadak iz </w:t>
                  </w:r>
                  <w:r w:rsidR="00CD56E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odluke</w:t>
                  </w:r>
                  <w:r w:rsidR="004238AF" w:rsidRPr="004238A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Članak 1.  uređuje način upravljanja i održavanja objekata u javnoj funkciji koji se nalaze na području Grada Ivanić-Grada, te se utvrđuju objekti u javnoj funkciji na području Grada Ivanić-Grada.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Članak 2. Objektima u javnoj funkciji u smislu Odluke smatraju se: 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nekretnine u vlasništvu Grada Ivanić-Grada koje se koriste za obavljanje općih i javnih poslova Grada Ivanić-Grada, trgovačkih društava u kojima Grad Ivanić-Grad ima udjele, ustanova kojih je Grad Ivanić-Grad osnivač i po svojoj naravi su u službi građanima; </w:t>
                  </w:r>
                </w:p>
                <w:p w:rsid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Članak 3. Poslovi tekućeg održavanja objekata u javnoj funkciji obavljaju se kao komunalna djelatnost u skladu s posebnom Odlukom Gradskog vijeća Grada Ivanić-Grada. Poslove iz prethodnog stavka obavlja trgovačko društvo Komunalni centar Ivanić-Grad d.o.o, Ivanić-Grad, temeljem posebnog ugovora kojim će se regulirati obujam poslova broj 2/2014. Grad Ivanić-Grad (strana 49) održavanja objekata. </w:t>
                  </w: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238AF" w:rsidRPr="00E65630" w:rsidRDefault="004238AF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Komunalno održavanje  projekta odnosno infrastrukture i opreme koja je predmet investicije ovog projekta obavljati će Gradsko poduzeće </w:t>
                  </w:r>
                  <w:r w:rsidRPr="00E6563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KOMUNALNI CENTAR IVANIĆ – GRAD d.o.o.</w:t>
                  </w: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Komunalni centar Ivanić-Grad d.o.o. registriran je za obavljanje komunalnih i drugih usluga, trgovinu, graditeljstvo i upravljanje nekretninama sa sjedištem u Ivanić-Gradu, Moslavačka 13, upisan u registru Trgovačkog suda u Zagrebu MBS 080719014, OIB 77038075724 (osnivački akt Izjava o osnivanju d.o.o. od 16.12.2009. g.). 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Društvo uz Upravu ima tri ustrojstvene jedinice i to:  sektor financija, računovodstva i administracije,  uprava groblja i sektor održavanja. Održava sve gradske površine, javnu rasvjetu, parkirališta, trgove, te će shodno tome u periodu od pet godina nakon uređenja Trga uz društveni dom Posavski </w:t>
                  </w:r>
                  <w:proofErr w:type="spellStart"/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Bregi</w:t>
                  </w:r>
                  <w:proofErr w:type="spellEnd"/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vršiti održavanje ovog projekta. U financijskim planovima poduzeća planirana su sredstva za održavanje  komunalne infrastrukture. 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Poduzeće ima 38 zaposlenih, od čega jedan zaposlenik ima visoku stručnu spremu - diplomirani ekonomist. Dvoje zaposlenih imaju višu stručnu spremu -  inženjer građevine i ekonomist, trinaest zaposlenih imaju srednju stručnu spremu, troje zaposlenih su kvalificirani radnici, a devetnaest zaposlenih su nekvalificirani radnici.  </w:t>
                  </w:r>
                </w:p>
                <w:p w:rsidR="00E65630" w:rsidRPr="00E65630" w:rsidRDefault="00E65630" w:rsidP="00E656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6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Radovi održavanja odvijat će se uz nadzor zaposlenika gradske uprave, upravnog odjela za financije, gospodarstvo, komunalne djelatnosti i prostorno uređenje. Nadzor održavanja predmetne infrastrukture vršiti će troje  djelatnika u skladu s Programom redovnog održavanja komunalne infrastrukture : viši stručni suradnik za komunalno gospodarstvo -  inženjer građevine, voditelj odsjeka za komunalne djelatnosti, komunalnu infrastrukturu i prostorno planiranje -   diplomirani inženjer arhitekture, komunalni redar- inženjer sigurnosti i zaštite na radu  </w:t>
                  </w:r>
                </w:p>
                <w:p w:rsidR="00732F76" w:rsidRPr="00F43EFB" w:rsidRDefault="00732F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76" w:rsidRDefault="00732F7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0CD" w:rsidRDefault="009310CD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059B" w:rsidRPr="00CE059B" w:rsidRDefault="00CE059B" w:rsidP="00CE059B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CE059B">
        <w:rPr>
          <w:rFonts w:ascii="Times New Roman" w:hAnsi="Times New Roman" w:cs="Times New Roman"/>
          <w:sz w:val="24"/>
          <w:szCs w:val="24"/>
        </w:rPr>
        <w:t xml:space="preserve">Komunalno održavanje  projekta odnosno infrastrukture i opreme koja je predmet investicije ovog projekta obavljati će Gradsko poduzeće KOMUNALNI CENTAR IVANIĆ – GRAD d.o.o. Komunalni centar Ivanić-Grad d.o.o. registriran je za obavljanje komunalnih i drugih usluga, trgovinu, graditeljstvo i upravljanje nekretninama sa sjedištem u Ivanić-Gradu, Moslavačka 13, upisan u registru Trgovačkog suda u Zagrebu MBS 080719014, OIB 77038075724 (osnivački akt Izjava o osnivanju d.o.o. od 16.12.2009. g.). </w:t>
      </w:r>
    </w:p>
    <w:p w:rsidR="00CE059B" w:rsidRPr="00CE059B" w:rsidRDefault="00CE059B" w:rsidP="00CE059B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CE059B">
        <w:rPr>
          <w:rFonts w:ascii="Times New Roman" w:hAnsi="Times New Roman" w:cs="Times New Roman"/>
          <w:sz w:val="24"/>
          <w:szCs w:val="24"/>
        </w:rPr>
        <w:t xml:space="preserve">Društvo uz Upravu ima tri ustrojstvene jedinice i to:  sektor financija, računovodstva i administracije,  uprava groblja i sektor održavanja. Održava sve gradske površine, javnu rasvjetu, parkirališta, trgove, te će shodno tome u periodu od pet godina nakon </w:t>
      </w:r>
      <w:r>
        <w:rPr>
          <w:rFonts w:ascii="Times New Roman" w:hAnsi="Times New Roman" w:cs="Times New Roman"/>
          <w:sz w:val="24"/>
          <w:szCs w:val="24"/>
        </w:rPr>
        <w:t xml:space="preserve">izgradnje dječjeg igrališta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Graberju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Ivanićkom</w:t>
      </w:r>
      <w:r w:rsidR="004E3064">
        <w:rPr>
          <w:rFonts w:ascii="Times New Roman" w:hAnsi="Times New Roman" w:cs="Times New Roman"/>
          <w:sz w:val="24"/>
          <w:szCs w:val="24"/>
        </w:rPr>
        <w:t xml:space="preserve"> </w:t>
      </w:r>
      <w:r w:rsidRPr="00CE059B">
        <w:rPr>
          <w:rFonts w:ascii="Times New Roman" w:hAnsi="Times New Roman" w:cs="Times New Roman"/>
          <w:sz w:val="24"/>
          <w:szCs w:val="24"/>
        </w:rPr>
        <w:t xml:space="preserve">vršiti održavanje ovog projekta. U financijskim planovima poduzeća planirana su sredstva za održavanje  komunalne infrastrukture. </w:t>
      </w:r>
    </w:p>
    <w:p w:rsidR="00CE059B" w:rsidRPr="00CE059B" w:rsidRDefault="00CE059B" w:rsidP="00CE059B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CE059B">
        <w:rPr>
          <w:rFonts w:ascii="Times New Roman" w:hAnsi="Times New Roman" w:cs="Times New Roman"/>
          <w:sz w:val="24"/>
          <w:szCs w:val="24"/>
        </w:rPr>
        <w:t>Poduzeće ima 38 zaposlenih, od čega jedan zaposlenik ima visoku stručnu spremu - diplomirani ekonomist. Dvoje zaposlenih imaju višu stručnu spremu -  inženjer građevine i ekonomist, trinaest zaposlenih imaju srednju stručnu spremu, troje zaposlenih su kvalificirani radnici, a devetnaest zaposlenih su nekvalificirani radnici.  </w:t>
      </w:r>
    </w:p>
    <w:p w:rsidR="009310CD" w:rsidRDefault="00CE059B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CE059B">
        <w:rPr>
          <w:rFonts w:ascii="Times New Roman" w:hAnsi="Times New Roman" w:cs="Times New Roman"/>
          <w:sz w:val="24"/>
          <w:szCs w:val="24"/>
        </w:rPr>
        <w:t>Radovi održavanja odvijat će se uz nadzor zaposlenika gradske uprave, upravnog odjela za financije, gospodarstvo, komunalne djelatnosti i prostorno uređenje. Nadzor održavanja predmetne infrastrukture vršiti će troje  djelatnika u skladu s Programom redovnog održavanja komunalne infrastrukture : viši stručni suradnik za komunalno gospodarstvo -  inženjer građevine, voditelj odsjeka za komunalne djelatnosti, komunalnu infrastrukturu i prostorno planiranje -   diplomirani inženjer arhitekture, komunalni redar- inženjer sigurnosti i zaštite na radu</w:t>
      </w:r>
      <w:r w:rsidR="00BA1CF4">
        <w:rPr>
          <w:rFonts w:ascii="Times New Roman" w:hAnsi="Times New Roman" w:cs="Times New Roman"/>
          <w:sz w:val="24"/>
          <w:szCs w:val="24"/>
        </w:rPr>
        <w:t>.</w:t>
      </w:r>
    </w:p>
    <w:p w:rsidR="00BA1CF4" w:rsidRDefault="00BA1CF4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7E" w:rsidRDefault="00B31E8C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11" w:history="1">
        <w:r w:rsidR="009D6BFE" w:rsidRPr="00CF70C8">
          <w:rPr>
            <w:rStyle w:val="Hiperveza"/>
            <w:rFonts w:ascii="Times New Roman" w:hAnsi="Times New Roman" w:cs="Times New Roman"/>
            <w:sz w:val="24"/>
            <w:szCs w:val="24"/>
          </w:rPr>
          <w:t>www.lag-moslavina.hr</w:t>
        </w:r>
      </w:hyperlink>
      <w:r w:rsidR="009D6BFE">
        <w:rPr>
          <w:rFonts w:ascii="Times New Roman" w:hAnsi="Times New Roman" w:cs="Times New Roman"/>
          <w:sz w:val="24"/>
          <w:szCs w:val="24"/>
        </w:rPr>
        <w:t xml:space="preserve">. </w:t>
      </w:r>
    </w:p>
    <w:bookmarkStart w:id="0" w:name="_MON_1590322649"/>
    <w:bookmarkEnd w:id="0"/>
    <w:p w:rsidR="00B31E8C" w:rsidRDefault="00D37713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FE6">
        <w:rPr>
          <w:rFonts w:ascii="Times New Roman" w:hAnsi="Times New Roman" w:cs="Times New Roman"/>
          <w:b/>
          <w:sz w:val="24"/>
          <w:szCs w:val="24"/>
        </w:rPr>
        <w:object w:dxaOrig="1596" w:dyaOrig="1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66pt" o:ole="">
            <v:imagedata r:id="rId12" o:title=""/>
          </v:shape>
          <o:OLEObject Type="Embed" ProgID="Excel.Sheet.12" ShapeID="_x0000_i1025" DrawAspect="Icon" ObjectID="_1604394769" r:id="rId13"/>
        </w:object>
      </w:r>
    </w:p>
    <w:p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F42D65" w:rsidRPr="00732F76">
        <w:rPr>
          <w:rFonts w:ascii="Calibri" w:eastAsia="Times New Roman" w:hAnsi="Calibri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732F76" w:rsidRPr="00732F76">
        <w:rPr>
          <w:rFonts w:ascii="Calibri" w:eastAsia="Times New Roman" w:hAnsi="Calibri" w:cs="Times New Roman"/>
          <w:sz w:val="20"/>
          <w:szCs w:val="20"/>
          <w:lang w:eastAsia="ar-SA"/>
        </w:rPr>
        <w:instrText xml:space="preserve"> FORMCHECKBOX </w:instrText>
      </w:r>
      <w:r w:rsidR="00F42D65" w:rsidRPr="00732F76">
        <w:rPr>
          <w:rFonts w:ascii="Calibri" w:eastAsia="Times New Roman" w:hAnsi="Calibri" w:cs="Times New Roman"/>
          <w:sz w:val="20"/>
          <w:szCs w:val="20"/>
          <w:lang w:eastAsia="ar-SA"/>
        </w:rPr>
      </w:r>
      <w:r w:rsidR="00F42D65" w:rsidRPr="00732F76">
        <w:rPr>
          <w:rFonts w:ascii="Calibri" w:eastAsia="Times New Roman" w:hAnsi="Calibri" w:cs="Times New Roman"/>
          <w:sz w:val="20"/>
          <w:szCs w:val="20"/>
          <w:lang w:eastAsia="ar-SA"/>
        </w:rPr>
        <w:fldChar w:fldCharType="end"/>
      </w:r>
      <w:r w:rsidR="00732F76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 / </w:t>
      </w:r>
      <w:r w:rsidR="000136DB">
        <w:rPr>
          <w:rFonts w:ascii="Calibri" w:eastAsia="Times New Roman" w:hAnsi="Calibri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 w:val="22"/>
              <w:default w:val="1"/>
            </w:checkBox>
          </w:ffData>
        </w:fldChar>
      </w:r>
      <w:r w:rsidR="000136DB">
        <w:rPr>
          <w:rFonts w:ascii="Calibri" w:eastAsia="Times New Roman" w:hAnsi="Calibri" w:cs="Times New Roman"/>
          <w:sz w:val="20"/>
          <w:szCs w:val="20"/>
          <w:lang w:eastAsia="ar-SA"/>
        </w:rPr>
        <w:instrText xml:space="preserve"> FORMCHECKBOX </w:instrText>
      </w:r>
      <w:r w:rsidR="000136DB">
        <w:rPr>
          <w:rFonts w:ascii="Calibri" w:eastAsia="Times New Roman" w:hAnsi="Calibri" w:cs="Times New Roman"/>
          <w:sz w:val="20"/>
          <w:szCs w:val="20"/>
          <w:lang w:eastAsia="ar-SA"/>
        </w:rPr>
      </w:r>
      <w:r w:rsidR="000136DB">
        <w:rPr>
          <w:rFonts w:ascii="Calibri" w:eastAsia="Times New Roman" w:hAnsi="Calibri" w:cs="Times New Roman"/>
          <w:sz w:val="20"/>
          <w:szCs w:val="20"/>
          <w:lang w:eastAsia="ar-SA"/>
        </w:rPr>
        <w:fldChar w:fldCharType="end"/>
      </w:r>
      <w:r w:rsidR="00732F76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732F76">
        <w:rPr>
          <w:rFonts w:ascii="Times New Roman" w:eastAsia="Calibri" w:hAnsi="Times New Roman" w:cs="Times New Roman"/>
          <w:i/>
          <w:iCs/>
          <w:sz w:val="24"/>
          <w:szCs w:val="24"/>
        </w:rPr>
        <w:t>Označiti</w:t>
      </w:r>
      <w:r w:rsidR="00732F76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odgovor koji je primjenjiv za projekt)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:rsidR="00B52C8A" w:rsidRDefault="00B52C8A" w:rsidP="0093730F">
      <w:pPr>
        <w:jc w:val="both"/>
      </w:pPr>
    </w:p>
    <w:p w:rsidR="001649A8" w:rsidRDefault="001649A8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9A8">
        <w:drawing>
          <wp:inline distT="0" distB="0" distL="0" distR="0" wp14:anchorId="1B8F23E6" wp14:editId="5D60FC41">
            <wp:extent cx="5972175" cy="5467350"/>
            <wp:effectExtent l="0" t="0" r="0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547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E6E" w:rsidRDefault="00DD0E6E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 xml:space="preserve">. USKLAĐENOST PROJEKTA S LOKALNOM </w:t>
      </w:r>
      <w:r w:rsidR="00186B6B">
        <w:rPr>
          <w:rFonts w:ascii="Times New Roman" w:hAnsi="Times New Roman" w:cs="Times New Roman"/>
          <w:b/>
          <w:sz w:val="24"/>
          <w:szCs w:val="24"/>
        </w:rPr>
        <w:t xml:space="preserve">RAZVOJNOM STRATEGIJOM 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LAG-a</w:t>
      </w:r>
      <w:r w:rsidR="00186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6DA">
        <w:rPr>
          <w:rFonts w:ascii="Times New Roman" w:hAnsi="Times New Roman" w:cs="Times New Roman"/>
          <w:b/>
          <w:sz w:val="24"/>
          <w:szCs w:val="24"/>
        </w:rPr>
        <w:t>„</w:t>
      </w:r>
      <w:r w:rsidR="00186B6B">
        <w:rPr>
          <w:rFonts w:ascii="Times New Roman" w:hAnsi="Times New Roman" w:cs="Times New Roman"/>
          <w:b/>
          <w:sz w:val="24"/>
          <w:szCs w:val="24"/>
        </w:rPr>
        <w:t>MOSLAVINA</w:t>
      </w:r>
      <w:r w:rsidR="000C46DA">
        <w:rPr>
          <w:rFonts w:ascii="Times New Roman" w:hAnsi="Times New Roman" w:cs="Times New Roman"/>
          <w:b/>
          <w:sz w:val="24"/>
          <w:szCs w:val="24"/>
        </w:rPr>
        <w:t>“</w:t>
      </w:r>
    </w:p>
    <w:p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cilj i prioritet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Pr="008A64B2">
        <w:rPr>
          <w:rFonts w:ascii="Times New Roman" w:hAnsi="Times New Roman" w:cs="Times New Roman"/>
          <w:i/>
          <w:sz w:val="24"/>
          <w:szCs w:val="24"/>
        </w:rPr>
        <w:t>lokal</w:t>
      </w:r>
      <w:r w:rsidR="000C46DA">
        <w:rPr>
          <w:rFonts w:ascii="Times New Roman" w:hAnsi="Times New Roman" w:cs="Times New Roman"/>
          <w:i/>
          <w:sz w:val="24"/>
          <w:szCs w:val="24"/>
        </w:rPr>
        <w:t>ne razvojne strategije LAG-a „Moslavina“,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 a iz kojih je vidljivo da je projekt u skladu s</w:t>
      </w:r>
      <w:r w:rsidR="001D64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</w:t>
      </w:r>
      <w:r w:rsidR="000C46DA">
        <w:rPr>
          <w:rFonts w:ascii="Times New Roman" w:hAnsi="Times New Roman" w:cs="Times New Roman"/>
          <w:i/>
          <w:sz w:val="24"/>
          <w:szCs w:val="24"/>
        </w:rPr>
        <w:t xml:space="preserve"> razvojnom strategijom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648C">
        <w:rPr>
          <w:rFonts w:ascii="Times New Roman" w:hAnsi="Times New Roman" w:cs="Times New Roman"/>
          <w:i/>
          <w:sz w:val="24"/>
          <w:szCs w:val="24"/>
        </w:rPr>
        <w:t xml:space="preserve">odabranog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C44920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648C" w:rsidRPr="00BB60E0">
        <w:rPr>
          <w:rFonts w:ascii="Times New Roman" w:hAnsi="Times New Roman" w:cs="Times New Roman"/>
          <w:i/>
          <w:sz w:val="24"/>
          <w:szCs w:val="24"/>
          <w:u w:val="single"/>
        </w:rPr>
        <w:t>opišite usklađenost projekta s LRS</w:t>
      </w:r>
      <w:r w:rsidR="001D648C">
        <w:rPr>
          <w:rFonts w:ascii="Times New Roman" w:hAnsi="Times New Roman" w:cs="Times New Roman"/>
          <w:i/>
          <w:sz w:val="24"/>
          <w:szCs w:val="24"/>
        </w:rPr>
        <w:t>)</w:t>
      </w:r>
    </w:p>
    <w:p w:rsidR="00F43EFB" w:rsidRDefault="002B2F9E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6" type="#_x0000_t202" style="position:absolute;left:0;text-align:left;margin-left:-.5pt;margin-top:1.7pt;width:465.25pt;height:472.35pt;z-index:251670528">
            <v:textbox>
              <w:txbxContent>
                <w:p w:rsidR="00F43EFB" w:rsidRDefault="00FC330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330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Projekt je usklađen s</w:t>
                  </w:r>
                  <w:r w:rsidRPr="00FC330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FC330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Lokalnom razvojnom strategijom Lokalne akcijske grupe „Moslavina“ 2014-2020</w:t>
                  </w:r>
                </w:p>
                <w:p w:rsidR="00FC330A" w:rsidRPr="00FC330A" w:rsidRDefault="00FC330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330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Strateški ciljevi (SC) LAG-a u 2014.-2020 </w:t>
                  </w:r>
                </w:p>
                <w:p w:rsidR="00FC330A" w:rsidRDefault="00FC330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33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SC2 Razvoj revitalizacije i održivog korištenja razvojne resursne osnove s jačanjem CLLD pristupa lokalnom razvoju</w:t>
                  </w:r>
                </w:p>
                <w:p w:rsidR="00FC330A" w:rsidRDefault="00FC330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330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Prioritetne Mjere (M) 2014.-2020. za ostvarenje strateških ciljeva</w:t>
                  </w:r>
                </w:p>
                <w:p w:rsidR="00FC330A" w:rsidRDefault="00FC330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33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M2.1 Potpora razvoju društvene i rekreac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 w:rsidRPr="00FC33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jske infrastrukture</w:t>
                  </w:r>
                </w:p>
                <w:p w:rsidR="00FC330A" w:rsidRDefault="00353CE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53CE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Prioritetni tipovi operacija (TO) 2014.- 2020., za realizaciju mjera kojima se ostvaruju strateški ciljevi</w:t>
                  </w:r>
                </w:p>
                <w:p w:rsidR="00353CE9" w:rsidRDefault="00353C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3C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TO 2.1.1 Razvoj opće društvene infrastrukture u svrhu podizanja kvalitete života stanovnika LAG-a</w:t>
                  </w:r>
                </w:p>
                <w:p w:rsidR="003F219D" w:rsidRDefault="003F219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Stranica br. 28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Lokalne razvojne strategije</w:t>
                  </w:r>
                  <w:r w:rsidRPr="003F219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Lokalne akcijske grupe „Moslavina“ 2014-2020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3F219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u točki 4.</w:t>
                  </w:r>
                </w:p>
                <w:p w:rsidR="00FD11D6" w:rsidRDefault="00FD11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D11D6">
                    <w:drawing>
                      <wp:inline distT="0" distB="0" distL="0" distR="0" wp14:anchorId="333EF41F" wp14:editId="112822BB">
                        <wp:extent cx="5716270" cy="949668"/>
                        <wp:effectExtent l="0" t="0" r="0" b="0"/>
                        <wp:docPr id="12" name="Slika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6270" cy="9496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6061" w:rsidRPr="00C47394" w:rsidRDefault="00C473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73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IVANIĆ - GRAD 2020 - Velikim koracima naprijed u 21. stoljeće STRATEGIJA EKONOMSKOG RAZVOJA GRADA ZA RAZDOBLJE 2014-2020.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C47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Str. 42</w:t>
                  </w:r>
                </w:p>
                <w:p w:rsidR="003507FF" w:rsidRDefault="00C473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7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4.3. Glavni ciljevi ekonomskog razvoja</w:t>
                  </w:r>
                </w:p>
                <w:p w:rsidR="00C47394" w:rsidRDefault="00C473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 w:rsidRPr="00C47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zgraditi infrastrukturu za razvoj kulturnih, sportskih i obrazovnih djelatnosti</w:t>
                  </w:r>
                </w:p>
                <w:p w:rsidR="00C47394" w:rsidRDefault="00C473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47394" w:rsidRPr="00353CE9" w:rsidRDefault="00C473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2C8A" w:rsidRDefault="00B52C8A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48C" w:rsidRDefault="001D648C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9A8" w:rsidRDefault="001649A8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48C" w:rsidRDefault="001D648C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EE3" w:rsidRPr="008A64B2" w:rsidRDefault="008510D7" w:rsidP="00C449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:rsidR="00670EE3" w:rsidRPr="008A64B2" w:rsidRDefault="00670EE3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EE3" w:rsidRPr="00C44920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4920">
        <w:rPr>
          <w:rFonts w:ascii="Times New Roman" w:hAnsi="Times New Roman" w:cs="Times New Roman"/>
          <w:i/>
          <w:sz w:val="24"/>
          <w:szCs w:val="24"/>
        </w:rPr>
        <w:t>Pojašnjenje:</w:t>
      </w:r>
    </w:p>
    <w:p w:rsidR="00670EE3" w:rsidRPr="00C44920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4920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44920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44920">
        <w:rPr>
          <w:rFonts w:ascii="Times New Roman" w:hAnsi="Times New Roman" w:cs="Times New Roman"/>
          <w:i/>
          <w:sz w:val="24"/>
          <w:szCs w:val="24"/>
        </w:rPr>
        <w:t>/</w:t>
      </w:r>
      <w:r w:rsidRPr="00C44920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44920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44920">
        <w:rPr>
          <w:rFonts w:ascii="Times New Roman" w:hAnsi="Times New Roman" w:cs="Times New Roman"/>
          <w:i/>
          <w:sz w:val="24"/>
          <w:szCs w:val="24"/>
        </w:rPr>
        <w:t xml:space="preserve"> za </w:t>
      </w:r>
      <w:r w:rsidR="009D6BFE" w:rsidRPr="00C44920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="003967B5" w:rsidRPr="00C44920">
        <w:rPr>
          <w:rFonts w:ascii="Times New Roman" w:hAnsi="Times New Roman" w:cs="Times New Roman"/>
          <w:i/>
          <w:sz w:val="24"/>
          <w:szCs w:val="24"/>
        </w:rPr>
        <w:t>2.1.1 „Razvoj opće društvene infrastrukture u svrhu podizanja kvalitete života stanovnika LAG-a“</w:t>
      </w:r>
      <w:r w:rsidR="009D6BFE" w:rsidRPr="00C44920">
        <w:rPr>
          <w:rFonts w:ascii="Times New Roman" w:hAnsi="Times New Roman" w:cs="Times New Roman"/>
          <w:sz w:val="24"/>
          <w:szCs w:val="24"/>
        </w:rPr>
        <w:t xml:space="preserve"> </w:t>
      </w:r>
      <w:r w:rsidRPr="00C44920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44920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44920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44920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44920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:rsidR="00670EE3" w:rsidRPr="00C44920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4920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:rsidR="00670EE3" w:rsidRPr="00C44920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4920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44920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44920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44920">
        <w:rPr>
          <w:rFonts w:ascii="Times New Roman" w:hAnsi="Times New Roman" w:cs="Times New Roman"/>
          <w:i/>
          <w:sz w:val="24"/>
          <w:szCs w:val="24"/>
        </w:rPr>
        <w:t>.</w:t>
      </w:r>
    </w:p>
    <w:p w:rsidR="002E321A" w:rsidRPr="008A64B2" w:rsidRDefault="002B2F9E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47" type="#_x0000_t202" style="position:absolute;left:0;text-align:left;margin-left:-.05pt;margin-top:12.2pt;width:468pt;height:262.15pt;z-index:251671552">
            <v:textbox>
              <w:txbxContent>
                <w:p w:rsidR="00FD11D6" w:rsidRPr="00FD11D6" w:rsidRDefault="00FD11D6" w:rsidP="00FD11D6">
                  <w:r w:rsidRPr="00FD11D6">
                    <w:t xml:space="preserve">Ja, Javor Bojan Leš, dr.vet.med., kao odgovorna osoba na položaju  Gradonačelnika Grada Ivanić-Grada, pod kaznenom i materijalnom odgovornošću dajem IZJAVU i obvezujem se da će Grad Ivanić – Grad kao korisnik podnositelj Zahtjeva za </w:t>
                  </w:r>
                  <w:r w:rsidRPr="00FD11D6">
                    <w:rPr>
                      <w:i/>
                    </w:rPr>
                    <w:t>TO 2.1.1 „Razvoj opće društvene infrastrukture u svrhu podizanja kvalitete života stanovnika LAG-a“</w:t>
                  </w:r>
                  <w:r>
                    <w:rPr>
                      <w:i/>
                    </w:rPr>
                    <w:t xml:space="preserve"> </w:t>
                  </w:r>
                  <w:r w:rsidRPr="00FD11D6">
                    <w:t xml:space="preserve">osigurati sve potrebne uvjete te da će planirano ulaganje biti dostupno </w:t>
                  </w:r>
                  <w:r>
                    <w:t xml:space="preserve">svim korisnicima infrastrukture, </w:t>
                  </w:r>
                  <w:r w:rsidRPr="00FD11D6">
                    <w:t xml:space="preserve">lokalnom stanovništvu odnosno različitim interesnim skupinama, posebice stanovnicima naselja </w:t>
                  </w:r>
                  <w:proofErr w:type="spellStart"/>
                  <w:r>
                    <w:t>Graberje</w:t>
                  </w:r>
                  <w:proofErr w:type="spellEnd"/>
                  <w:r>
                    <w:t xml:space="preserve"> Ivanićko , i krajnjim korisnicima, djeci školske i predškolske dobi te mladim bračnim parovima odnosno</w:t>
                  </w:r>
                  <w:r w:rsidRPr="00FD11D6">
                    <w:t xml:space="preserve"> svim interesnim skupinama bez ikakve naknade ili naplate usluga. Predmetno ulaganje i svi rezultati proizašli iz projekta biti će namijenjeni javnoj upotrebi/korištenju u edukativnom, kulturnom, sportskom, rekreativnom i socijalnom smislu i javno dostupni stanovništvu </w:t>
                  </w:r>
                  <w:proofErr w:type="spellStart"/>
                  <w:r>
                    <w:t>Graberja</w:t>
                  </w:r>
                  <w:proofErr w:type="spellEnd"/>
                  <w:r>
                    <w:t xml:space="preserve"> Ivanićkog </w:t>
                  </w:r>
                  <w:r w:rsidRPr="00FD11D6">
                    <w:t xml:space="preserve"> i  </w:t>
                  </w:r>
                  <w:r>
                    <w:t xml:space="preserve">stanovništvu </w:t>
                  </w:r>
                  <w:r w:rsidRPr="00FD11D6">
                    <w:t>područja Ivanić- Grada</w:t>
                  </w:r>
                  <w:r>
                    <w:t>.</w:t>
                  </w:r>
                  <w:r w:rsidRPr="00FD11D6">
                    <w:t xml:space="preserve"> </w:t>
                  </w:r>
                </w:p>
                <w:p w:rsidR="00F43EFB" w:rsidRDefault="00F43EFB"/>
              </w:txbxContent>
            </v:textbox>
          </v:shape>
        </w:pict>
      </w: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B" w:rsidRPr="008A64B2" w:rsidRDefault="00F43EFB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2552"/>
      </w:tblGrid>
      <w:tr w:rsidR="00F43EFB" w:rsidTr="00F43EFB">
        <w:trPr>
          <w:trHeight w:val="344"/>
        </w:trPr>
        <w:tc>
          <w:tcPr>
            <w:tcW w:w="2518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8B0E7E" w:rsidRDefault="008B0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321A" w:rsidRPr="008A64B2" w:rsidSect="008E2C1A">
      <w:headerReference w:type="default" r:id="rId16"/>
      <w:footerReference w:type="default" r:id="rId17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F9E" w:rsidRDefault="002B2F9E" w:rsidP="004F23D4">
      <w:pPr>
        <w:spacing w:after="0" w:line="240" w:lineRule="auto"/>
      </w:pPr>
      <w:r>
        <w:separator/>
      </w:r>
    </w:p>
  </w:endnote>
  <w:endnote w:type="continuationSeparator" w:id="0">
    <w:p w:rsidR="002B2F9E" w:rsidRDefault="002B2F9E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="00F42D65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="00F42D65" w:rsidRPr="0093730F">
              <w:rPr>
                <w:bCs/>
                <w:sz w:val="24"/>
                <w:szCs w:val="24"/>
              </w:rPr>
              <w:fldChar w:fldCharType="separate"/>
            </w:r>
            <w:r w:rsidR="0087330E">
              <w:rPr>
                <w:bCs/>
                <w:noProof/>
              </w:rPr>
              <w:t>1</w:t>
            </w:r>
            <w:r w:rsidR="00F42D65"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="00F42D65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="00F42D65" w:rsidRPr="0093730F">
              <w:rPr>
                <w:bCs/>
                <w:sz w:val="24"/>
                <w:szCs w:val="24"/>
              </w:rPr>
              <w:fldChar w:fldCharType="separate"/>
            </w:r>
            <w:r w:rsidR="0087330E">
              <w:rPr>
                <w:bCs/>
                <w:noProof/>
              </w:rPr>
              <w:t>15</w:t>
            </w:r>
            <w:r w:rsidR="00F42D65"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F9E" w:rsidRDefault="002B2F9E" w:rsidP="004F23D4">
      <w:pPr>
        <w:spacing w:after="0" w:line="240" w:lineRule="auto"/>
      </w:pPr>
      <w:r>
        <w:separator/>
      </w:r>
    </w:p>
  </w:footnote>
  <w:footnote w:type="continuationSeparator" w:id="0">
    <w:p w:rsidR="002B2F9E" w:rsidRDefault="002B2F9E" w:rsidP="004F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796" w:rsidRDefault="00177141">
    <w:pPr>
      <w:pStyle w:val="Zaglavlje"/>
    </w:pPr>
    <w:r>
      <w:rPr>
        <w:noProof/>
        <w:lang w:eastAsia="hr-HR"/>
      </w:rPr>
      <w:drawing>
        <wp:inline distT="0" distB="0" distL="0" distR="0">
          <wp:extent cx="1614170" cy="397510"/>
          <wp:effectExtent l="19050" t="0" r="5080" b="0"/>
          <wp:docPr id="2" name="Slika 2" descr="H:\LAG Natječaji\TO 1.1.4 - 6.3.1\AKTIVACIJA - TO 6.3.1. LRS LAG\Uređena dokumentacija LAG-a\Tekst LAG Natječaja + dokumentacija za TO 1.1.4\Podmjera 19.4\Oznaka sufinanciranja\lag-moslavina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LAG Natječaji\TO 1.1.4 - 6.3.1\AKTIVACIJA - TO 6.3.1. LRS LAG\Uređena dokumentacija LAG-a\Tekst LAG Natječaja + dokumentacija za TO 1.1.4\Podmjera 19.4\Oznaka sufinanciranja\lag-moslavina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397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0796" w:rsidRDefault="0078079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10980"/>
    <w:multiLevelType w:val="hybridMultilevel"/>
    <w:tmpl w:val="7DA6E748"/>
    <w:lvl w:ilvl="0" w:tplc="A40009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B58"/>
    <w:rsid w:val="00001FE1"/>
    <w:rsid w:val="00005752"/>
    <w:rsid w:val="0001195B"/>
    <w:rsid w:val="00011C48"/>
    <w:rsid w:val="00011EA5"/>
    <w:rsid w:val="000136DB"/>
    <w:rsid w:val="00020B17"/>
    <w:rsid w:val="00022C3F"/>
    <w:rsid w:val="00024291"/>
    <w:rsid w:val="000429C5"/>
    <w:rsid w:val="0005327D"/>
    <w:rsid w:val="000543E6"/>
    <w:rsid w:val="00056FA3"/>
    <w:rsid w:val="000602F4"/>
    <w:rsid w:val="000623D0"/>
    <w:rsid w:val="00081F56"/>
    <w:rsid w:val="00087038"/>
    <w:rsid w:val="000A0334"/>
    <w:rsid w:val="000A5AF4"/>
    <w:rsid w:val="000B0025"/>
    <w:rsid w:val="000C30D0"/>
    <w:rsid w:val="000C46DA"/>
    <w:rsid w:val="000D1AEA"/>
    <w:rsid w:val="000D76FF"/>
    <w:rsid w:val="00105996"/>
    <w:rsid w:val="00105A7C"/>
    <w:rsid w:val="00110337"/>
    <w:rsid w:val="00130951"/>
    <w:rsid w:val="00153C6A"/>
    <w:rsid w:val="00155A0B"/>
    <w:rsid w:val="0016099E"/>
    <w:rsid w:val="00160B55"/>
    <w:rsid w:val="00163F4B"/>
    <w:rsid w:val="001649A8"/>
    <w:rsid w:val="00166728"/>
    <w:rsid w:val="00166C69"/>
    <w:rsid w:val="00171A1C"/>
    <w:rsid w:val="0017350D"/>
    <w:rsid w:val="00177141"/>
    <w:rsid w:val="001800EF"/>
    <w:rsid w:val="0018232C"/>
    <w:rsid w:val="00186B6B"/>
    <w:rsid w:val="00187565"/>
    <w:rsid w:val="001937E8"/>
    <w:rsid w:val="001A0F37"/>
    <w:rsid w:val="001A2A9C"/>
    <w:rsid w:val="001A6DBB"/>
    <w:rsid w:val="001A7A76"/>
    <w:rsid w:val="001B36DD"/>
    <w:rsid w:val="001B71BD"/>
    <w:rsid w:val="001C0C1D"/>
    <w:rsid w:val="001C793B"/>
    <w:rsid w:val="001D12F1"/>
    <w:rsid w:val="001D4007"/>
    <w:rsid w:val="001D648C"/>
    <w:rsid w:val="001E0A3C"/>
    <w:rsid w:val="001E23D9"/>
    <w:rsid w:val="001F3AE4"/>
    <w:rsid w:val="00200030"/>
    <w:rsid w:val="002024B9"/>
    <w:rsid w:val="00203D6E"/>
    <w:rsid w:val="002118D6"/>
    <w:rsid w:val="002126B6"/>
    <w:rsid w:val="00214AD3"/>
    <w:rsid w:val="002320C5"/>
    <w:rsid w:val="00232CBB"/>
    <w:rsid w:val="00235852"/>
    <w:rsid w:val="00235932"/>
    <w:rsid w:val="002369F8"/>
    <w:rsid w:val="00253107"/>
    <w:rsid w:val="002531D6"/>
    <w:rsid w:val="00255A7B"/>
    <w:rsid w:val="0026516F"/>
    <w:rsid w:val="00280542"/>
    <w:rsid w:val="00280706"/>
    <w:rsid w:val="00282ED8"/>
    <w:rsid w:val="002844FF"/>
    <w:rsid w:val="00290F91"/>
    <w:rsid w:val="002976FD"/>
    <w:rsid w:val="002A3ACE"/>
    <w:rsid w:val="002A7962"/>
    <w:rsid w:val="002B19EF"/>
    <w:rsid w:val="002B2F9E"/>
    <w:rsid w:val="002B35B0"/>
    <w:rsid w:val="002B69F7"/>
    <w:rsid w:val="002C1B41"/>
    <w:rsid w:val="002D38DD"/>
    <w:rsid w:val="002D623E"/>
    <w:rsid w:val="002D6C63"/>
    <w:rsid w:val="002E321A"/>
    <w:rsid w:val="00303651"/>
    <w:rsid w:val="00304B30"/>
    <w:rsid w:val="003075CB"/>
    <w:rsid w:val="00313630"/>
    <w:rsid w:val="00314BF8"/>
    <w:rsid w:val="0031756F"/>
    <w:rsid w:val="00321160"/>
    <w:rsid w:val="00326F0D"/>
    <w:rsid w:val="00340CFC"/>
    <w:rsid w:val="00343F54"/>
    <w:rsid w:val="003507FF"/>
    <w:rsid w:val="00353CE9"/>
    <w:rsid w:val="0036031D"/>
    <w:rsid w:val="00373880"/>
    <w:rsid w:val="00377751"/>
    <w:rsid w:val="003830FA"/>
    <w:rsid w:val="00392C89"/>
    <w:rsid w:val="0039318E"/>
    <w:rsid w:val="003938B1"/>
    <w:rsid w:val="00394EE9"/>
    <w:rsid w:val="003967B5"/>
    <w:rsid w:val="003A0EAF"/>
    <w:rsid w:val="003B143F"/>
    <w:rsid w:val="003B15D3"/>
    <w:rsid w:val="003C1851"/>
    <w:rsid w:val="003C66E2"/>
    <w:rsid w:val="003C6BF9"/>
    <w:rsid w:val="003D0CAD"/>
    <w:rsid w:val="003D2798"/>
    <w:rsid w:val="003E2DA2"/>
    <w:rsid w:val="003F219D"/>
    <w:rsid w:val="003F5787"/>
    <w:rsid w:val="0040085B"/>
    <w:rsid w:val="00413513"/>
    <w:rsid w:val="004209C6"/>
    <w:rsid w:val="004238AF"/>
    <w:rsid w:val="00431A63"/>
    <w:rsid w:val="00432E59"/>
    <w:rsid w:val="0044051D"/>
    <w:rsid w:val="00443812"/>
    <w:rsid w:val="004522E9"/>
    <w:rsid w:val="00456061"/>
    <w:rsid w:val="00465AA4"/>
    <w:rsid w:val="00467955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3064"/>
    <w:rsid w:val="004E6CB0"/>
    <w:rsid w:val="004F23D4"/>
    <w:rsid w:val="004F3AD9"/>
    <w:rsid w:val="004F5D3E"/>
    <w:rsid w:val="005117AE"/>
    <w:rsid w:val="0051189A"/>
    <w:rsid w:val="00513C3D"/>
    <w:rsid w:val="005147C7"/>
    <w:rsid w:val="00517FDA"/>
    <w:rsid w:val="00522966"/>
    <w:rsid w:val="00530424"/>
    <w:rsid w:val="005314F9"/>
    <w:rsid w:val="00532B19"/>
    <w:rsid w:val="005468F5"/>
    <w:rsid w:val="00550092"/>
    <w:rsid w:val="00551E3D"/>
    <w:rsid w:val="00555402"/>
    <w:rsid w:val="005617BB"/>
    <w:rsid w:val="0056459A"/>
    <w:rsid w:val="0056460E"/>
    <w:rsid w:val="0056472A"/>
    <w:rsid w:val="005652CF"/>
    <w:rsid w:val="0056651C"/>
    <w:rsid w:val="00572063"/>
    <w:rsid w:val="00572BBA"/>
    <w:rsid w:val="00581E44"/>
    <w:rsid w:val="00584A45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122C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560C2"/>
    <w:rsid w:val="00662FE6"/>
    <w:rsid w:val="0066427D"/>
    <w:rsid w:val="00666910"/>
    <w:rsid w:val="00670EE3"/>
    <w:rsid w:val="006722C8"/>
    <w:rsid w:val="00672C33"/>
    <w:rsid w:val="006808A9"/>
    <w:rsid w:val="006810AF"/>
    <w:rsid w:val="006825B8"/>
    <w:rsid w:val="006826A4"/>
    <w:rsid w:val="00683668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2E9E"/>
    <w:rsid w:val="006B35D8"/>
    <w:rsid w:val="006B4888"/>
    <w:rsid w:val="006B61F7"/>
    <w:rsid w:val="006B6AB2"/>
    <w:rsid w:val="006C1CC2"/>
    <w:rsid w:val="006C39EF"/>
    <w:rsid w:val="006C56E8"/>
    <w:rsid w:val="006E1AD7"/>
    <w:rsid w:val="006E4078"/>
    <w:rsid w:val="006F04E9"/>
    <w:rsid w:val="006F1BB3"/>
    <w:rsid w:val="006F51D4"/>
    <w:rsid w:val="006F62F9"/>
    <w:rsid w:val="00701D29"/>
    <w:rsid w:val="00702406"/>
    <w:rsid w:val="00703E89"/>
    <w:rsid w:val="007041BC"/>
    <w:rsid w:val="007167F9"/>
    <w:rsid w:val="007210FC"/>
    <w:rsid w:val="0072242F"/>
    <w:rsid w:val="00722F5F"/>
    <w:rsid w:val="0072318C"/>
    <w:rsid w:val="0072704E"/>
    <w:rsid w:val="00732F76"/>
    <w:rsid w:val="00737555"/>
    <w:rsid w:val="00744CBF"/>
    <w:rsid w:val="007536B2"/>
    <w:rsid w:val="00753D1A"/>
    <w:rsid w:val="007604AA"/>
    <w:rsid w:val="007666AF"/>
    <w:rsid w:val="00780796"/>
    <w:rsid w:val="00782930"/>
    <w:rsid w:val="00787E5A"/>
    <w:rsid w:val="007903C8"/>
    <w:rsid w:val="007A0294"/>
    <w:rsid w:val="007A397B"/>
    <w:rsid w:val="007A4F51"/>
    <w:rsid w:val="007B276F"/>
    <w:rsid w:val="007B6376"/>
    <w:rsid w:val="007B655C"/>
    <w:rsid w:val="007C6BF0"/>
    <w:rsid w:val="007D54B9"/>
    <w:rsid w:val="007D5822"/>
    <w:rsid w:val="007E21B1"/>
    <w:rsid w:val="007E28FB"/>
    <w:rsid w:val="007E293A"/>
    <w:rsid w:val="007E2A0C"/>
    <w:rsid w:val="007E63D8"/>
    <w:rsid w:val="0080165A"/>
    <w:rsid w:val="008019E8"/>
    <w:rsid w:val="00806E30"/>
    <w:rsid w:val="00813F0A"/>
    <w:rsid w:val="00817D40"/>
    <w:rsid w:val="00823C0B"/>
    <w:rsid w:val="0083628D"/>
    <w:rsid w:val="00841947"/>
    <w:rsid w:val="008510D7"/>
    <w:rsid w:val="00851FEA"/>
    <w:rsid w:val="00854726"/>
    <w:rsid w:val="00854B6B"/>
    <w:rsid w:val="00863537"/>
    <w:rsid w:val="008661C9"/>
    <w:rsid w:val="0087330E"/>
    <w:rsid w:val="00873EFC"/>
    <w:rsid w:val="0088714E"/>
    <w:rsid w:val="0089784B"/>
    <w:rsid w:val="008A6331"/>
    <w:rsid w:val="008A64B2"/>
    <w:rsid w:val="008A6DB8"/>
    <w:rsid w:val="008B0E7E"/>
    <w:rsid w:val="008B7581"/>
    <w:rsid w:val="008C0D3C"/>
    <w:rsid w:val="008C6EC4"/>
    <w:rsid w:val="008E168C"/>
    <w:rsid w:val="008E2C1A"/>
    <w:rsid w:val="008E7CEF"/>
    <w:rsid w:val="008F532D"/>
    <w:rsid w:val="008F5584"/>
    <w:rsid w:val="00904DAD"/>
    <w:rsid w:val="009073A2"/>
    <w:rsid w:val="00907882"/>
    <w:rsid w:val="009103DE"/>
    <w:rsid w:val="0091624A"/>
    <w:rsid w:val="00925A37"/>
    <w:rsid w:val="009276A3"/>
    <w:rsid w:val="00927E18"/>
    <w:rsid w:val="009310CD"/>
    <w:rsid w:val="00932C5B"/>
    <w:rsid w:val="0093676B"/>
    <w:rsid w:val="0093730F"/>
    <w:rsid w:val="00941568"/>
    <w:rsid w:val="009446EF"/>
    <w:rsid w:val="00946CBF"/>
    <w:rsid w:val="00952250"/>
    <w:rsid w:val="0096227B"/>
    <w:rsid w:val="00964C1B"/>
    <w:rsid w:val="00971B95"/>
    <w:rsid w:val="0098049B"/>
    <w:rsid w:val="009A1779"/>
    <w:rsid w:val="009A40D5"/>
    <w:rsid w:val="009D1B91"/>
    <w:rsid w:val="009D227B"/>
    <w:rsid w:val="009D5015"/>
    <w:rsid w:val="009D6BFE"/>
    <w:rsid w:val="009E3A74"/>
    <w:rsid w:val="009F492D"/>
    <w:rsid w:val="00A059AB"/>
    <w:rsid w:val="00A1159C"/>
    <w:rsid w:val="00A205BD"/>
    <w:rsid w:val="00A22938"/>
    <w:rsid w:val="00A2334B"/>
    <w:rsid w:val="00A256DA"/>
    <w:rsid w:val="00A40C44"/>
    <w:rsid w:val="00A43B31"/>
    <w:rsid w:val="00A50AEB"/>
    <w:rsid w:val="00A60967"/>
    <w:rsid w:val="00A67D01"/>
    <w:rsid w:val="00A7178A"/>
    <w:rsid w:val="00A71C18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27AF3"/>
    <w:rsid w:val="00B31E8C"/>
    <w:rsid w:val="00B32DF8"/>
    <w:rsid w:val="00B41403"/>
    <w:rsid w:val="00B464BF"/>
    <w:rsid w:val="00B51DF1"/>
    <w:rsid w:val="00B52C8A"/>
    <w:rsid w:val="00B54563"/>
    <w:rsid w:val="00B5544B"/>
    <w:rsid w:val="00B568B9"/>
    <w:rsid w:val="00B57495"/>
    <w:rsid w:val="00B6031E"/>
    <w:rsid w:val="00B6070E"/>
    <w:rsid w:val="00B627E5"/>
    <w:rsid w:val="00B63AB7"/>
    <w:rsid w:val="00B65CA8"/>
    <w:rsid w:val="00B70C19"/>
    <w:rsid w:val="00B729C4"/>
    <w:rsid w:val="00B72EEB"/>
    <w:rsid w:val="00B74A12"/>
    <w:rsid w:val="00B91EB6"/>
    <w:rsid w:val="00B927C7"/>
    <w:rsid w:val="00B94B66"/>
    <w:rsid w:val="00BA1CF4"/>
    <w:rsid w:val="00BA59D7"/>
    <w:rsid w:val="00BB229F"/>
    <w:rsid w:val="00BB60E0"/>
    <w:rsid w:val="00BB7447"/>
    <w:rsid w:val="00BC43BE"/>
    <w:rsid w:val="00BC6EC8"/>
    <w:rsid w:val="00BD312C"/>
    <w:rsid w:val="00BD4C90"/>
    <w:rsid w:val="00BD6C4C"/>
    <w:rsid w:val="00BE43DB"/>
    <w:rsid w:val="00BF2840"/>
    <w:rsid w:val="00C025FE"/>
    <w:rsid w:val="00C058A1"/>
    <w:rsid w:val="00C06154"/>
    <w:rsid w:val="00C06F29"/>
    <w:rsid w:val="00C11E4C"/>
    <w:rsid w:val="00C1217A"/>
    <w:rsid w:val="00C315B8"/>
    <w:rsid w:val="00C436A4"/>
    <w:rsid w:val="00C44920"/>
    <w:rsid w:val="00C4502C"/>
    <w:rsid w:val="00C45608"/>
    <w:rsid w:val="00C47394"/>
    <w:rsid w:val="00C53B18"/>
    <w:rsid w:val="00C547BD"/>
    <w:rsid w:val="00C60596"/>
    <w:rsid w:val="00C618E5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A0E11"/>
    <w:rsid w:val="00CA2998"/>
    <w:rsid w:val="00CA6999"/>
    <w:rsid w:val="00CA7F9F"/>
    <w:rsid w:val="00CB1234"/>
    <w:rsid w:val="00CB4893"/>
    <w:rsid w:val="00CD56E5"/>
    <w:rsid w:val="00CE058C"/>
    <w:rsid w:val="00CE059B"/>
    <w:rsid w:val="00CF1491"/>
    <w:rsid w:val="00CF7DFD"/>
    <w:rsid w:val="00D047FC"/>
    <w:rsid w:val="00D10847"/>
    <w:rsid w:val="00D10CAB"/>
    <w:rsid w:val="00D20289"/>
    <w:rsid w:val="00D30696"/>
    <w:rsid w:val="00D3434F"/>
    <w:rsid w:val="00D34A6A"/>
    <w:rsid w:val="00D37713"/>
    <w:rsid w:val="00D37AA5"/>
    <w:rsid w:val="00D44B7F"/>
    <w:rsid w:val="00D461DD"/>
    <w:rsid w:val="00D46D43"/>
    <w:rsid w:val="00D5657D"/>
    <w:rsid w:val="00D60267"/>
    <w:rsid w:val="00D64740"/>
    <w:rsid w:val="00D72831"/>
    <w:rsid w:val="00D740D8"/>
    <w:rsid w:val="00D875C8"/>
    <w:rsid w:val="00DA3A45"/>
    <w:rsid w:val="00DA6A7F"/>
    <w:rsid w:val="00DB7AEE"/>
    <w:rsid w:val="00DC360C"/>
    <w:rsid w:val="00DD0E6E"/>
    <w:rsid w:val="00DD4FD0"/>
    <w:rsid w:val="00DD786E"/>
    <w:rsid w:val="00DE309C"/>
    <w:rsid w:val="00DF09E9"/>
    <w:rsid w:val="00DF324C"/>
    <w:rsid w:val="00E058ED"/>
    <w:rsid w:val="00E06341"/>
    <w:rsid w:val="00E10201"/>
    <w:rsid w:val="00E17498"/>
    <w:rsid w:val="00E22818"/>
    <w:rsid w:val="00E27E2C"/>
    <w:rsid w:val="00E3303E"/>
    <w:rsid w:val="00E370C6"/>
    <w:rsid w:val="00E51940"/>
    <w:rsid w:val="00E5220F"/>
    <w:rsid w:val="00E64435"/>
    <w:rsid w:val="00E65630"/>
    <w:rsid w:val="00E74D5F"/>
    <w:rsid w:val="00E81840"/>
    <w:rsid w:val="00E87E0D"/>
    <w:rsid w:val="00E91C3B"/>
    <w:rsid w:val="00E937DD"/>
    <w:rsid w:val="00EA7ADE"/>
    <w:rsid w:val="00EB2CFD"/>
    <w:rsid w:val="00EB65BE"/>
    <w:rsid w:val="00EC7504"/>
    <w:rsid w:val="00ED26A7"/>
    <w:rsid w:val="00ED49E5"/>
    <w:rsid w:val="00EE15E6"/>
    <w:rsid w:val="00EE2003"/>
    <w:rsid w:val="00EE6243"/>
    <w:rsid w:val="00EE7D52"/>
    <w:rsid w:val="00EF0E5A"/>
    <w:rsid w:val="00F02DFC"/>
    <w:rsid w:val="00F0321D"/>
    <w:rsid w:val="00F1475F"/>
    <w:rsid w:val="00F156C7"/>
    <w:rsid w:val="00F16C24"/>
    <w:rsid w:val="00F31FDC"/>
    <w:rsid w:val="00F3307E"/>
    <w:rsid w:val="00F40B58"/>
    <w:rsid w:val="00F4107B"/>
    <w:rsid w:val="00F42D65"/>
    <w:rsid w:val="00F43EFB"/>
    <w:rsid w:val="00F46E63"/>
    <w:rsid w:val="00F47B77"/>
    <w:rsid w:val="00F5126C"/>
    <w:rsid w:val="00F514BA"/>
    <w:rsid w:val="00F576A8"/>
    <w:rsid w:val="00F616D2"/>
    <w:rsid w:val="00F61A66"/>
    <w:rsid w:val="00F61BD6"/>
    <w:rsid w:val="00F61D03"/>
    <w:rsid w:val="00F73B5D"/>
    <w:rsid w:val="00F75096"/>
    <w:rsid w:val="00F90575"/>
    <w:rsid w:val="00F9520E"/>
    <w:rsid w:val="00FA2B4B"/>
    <w:rsid w:val="00FA37E0"/>
    <w:rsid w:val="00FB5E0C"/>
    <w:rsid w:val="00FC330A"/>
    <w:rsid w:val="00FC7AD4"/>
    <w:rsid w:val="00FD11D6"/>
    <w:rsid w:val="00FD13FE"/>
    <w:rsid w:val="00FD5FBA"/>
    <w:rsid w:val="00FE02AB"/>
    <w:rsid w:val="00FE0D33"/>
    <w:rsid w:val="00FE6AA1"/>
    <w:rsid w:val="00FF432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FE6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9D6B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Radni_list_programa_Microsoft_Excel1.xls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ag-moslavina.h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23EB-0F2E-4F7E-88EB-8D513D08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2005</Words>
  <Characters>11429</Characters>
  <Application>Microsoft Office Word</Application>
  <DocSecurity>0</DocSecurity>
  <Lines>95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Windows User</cp:lastModifiedBy>
  <cp:revision>111</cp:revision>
  <cp:lastPrinted>2018-11-22T04:47:00Z</cp:lastPrinted>
  <dcterms:created xsi:type="dcterms:W3CDTF">2018-09-28T08:52:00Z</dcterms:created>
  <dcterms:modified xsi:type="dcterms:W3CDTF">2018-11-22T11:25:00Z</dcterms:modified>
</cp:coreProperties>
</file>