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D9E" w:rsidRPr="00380D9E" w:rsidRDefault="00380D9E" w:rsidP="00380D9E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OBRAZLOŽENJE UZ IZVRŠENJE PRORAČUNA GRADA</w:t>
      </w:r>
    </w:p>
    <w:p w:rsidR="00380D9E" w:rsidRPr="00380D9E" w:rsidRDefault="00380D9E" w:rsidP="00380D9E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ZA 1. - 6. mjesec 2017.  GODINE</w:t>
      </w: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ab/>
        <w:t xml:space="preserve">Polugodišnji izvještaj Proračuna temelji se na Proračunu Grada Ivanić-Grada za 2017. godinu,  usvojenom na 36. sjednici Gradskog vijeća dana 20.12.2016. godine, odnosno I Izmjenama i dopunama Proračuna Grada za 2017. godinu, donesenim na 38. sjednici Gradskog vijeća održanoj dana 30.3.2017. godine. </w:t>
      </w: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ab/>
        <w:t xml:space="preserve">Izvještaj je izrađen na osnovi odredbi članka 108. i 109. Zakona o proračunu i to na organizacijskoj, ekonomskoj i programskoj razini, a prema planskim podacima za 6 mjeseci 2017. godine. </w:t>
      </w: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outlineLvl w:val="1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P r i h o d i</w:t>
      </w:r>
    </w:p>
    <w:p w:rsidR="00380D9E" w:rsidRPr="00380D9E" w:rsidRDefault="00380D9E" w:rsidP="00380D9E">
      <w:pPr>
        <w:keepNext/>
        <w:spacing w:before="240" w:after="60" w:line="240" w:lineRule="auto"/>
        <w:jc w:val="both"/>
        <w:outlineLvl w:val="0"/>
        <w:rPr>
          <w:rFonts w:ascii="Trebuchet MS" w:eastAsia="Times New Roman" w:hAnsi="Trebuchet MS" w:cs="Arial"/>
          <w:b/>
          <w:bCs/>
          <w:kern w:val="32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keepNext/>
        <w:spacing w:before="240" w:after="60" w:line="240" w:lineRule="auto"/>
        <w:jc w:val="both"/>
        <w:outlineLvl w:val="0"/>
        <w:rPr>
          <w:rFonts w:ascii="Trebuchet MS" w:eastAsia="Times New Roman" w:hAnsi="Trebuchet MS" w:cs="Arial"/>
          <w:b/>
          <w:bCs/>
          <w:kern w:val="32"/>
          <w:sz w:val="28"/>
          <w:szCs w:val="28"/>
          <w:lang w:eastAsia="hr-HR"/>
        </w:rPr>
      </w:pPr>
      <w:r w:rsidRPr="00380D9E">
        <w:rPr>
          <w:rFonts w:ascii="Trebuchet MS" w:eastAsia="Times New Roman" w:hAnsi="Trebuchet MS" w:cs="Arial"/>
          <w:b/>
          <w:bCs/>
          <w:kern w:val="32"/>
          <w:sz w:val="28"/>
          <w:szCs w:val="28"/>
          <w:lang w:eastAsia="hr-HR"/>
        </w:rPr>
        <w:t>I    O p ć i  d i o</w:t>
      </w:r>
      <w:bookmarkStart w:id="0" w:name="_GoBack"/>
      <w:bookmarkEnd w:id="0"/>
    </w:p>
    <w:p w:rsidR="00380D9E" w:rsidRPr="00380D9E" w:rsidRDefault="00380D9E" w:rsidP="003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keepNext/>
        <w:spacing w:before="240" w:after="60" w:line="240" w:lineRule="auto"/>
        <w:ind w:firstLine="708"/>
        <w:jc w:val="both"/>
        <w:outlineLvl w:val="0"/>
        <w:rPr>
          <w:rFonts w:ascii="Trebuchet MS" w:eastAsia="Times New Roman" w:hAnsi="Trebuchet MS" w:cs="Arial"/>
          <w:bCs/>
          <w:kern w:val="32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Arial"/>
          <w:bCs/>
          <w:kern w:val="32"/>
          <w:sz w:val="24"/>
          <w:szCs w:val="24"/>
          <w:lang w:eastAsia="hr-HR"/>
        </w:rPr>
        <w:t xml:space="preserve">Opći dio prihoda odnosi se na sve prihode proračuna i proračunskih korisnika, dakle radi se o </w:t>
      </w:r>
      <w:r w:rsidRPr="00380D9E">
        <w:rPr>
          <w:rFonts w:ascii="Trebuchet MS" w:eastAsia="Times New Roman" w:hAnsi="Trebuchet MS" w:cs="Arial"/>
          <w:b/>
          <w:bCs/>
          <w:kern w:val="32"/>
          <w:sz w:val="24"/>
          <w:szCs w:val="24"/>
          <w:lang w:eastAsia="hr-HR"/>
        </w:rPr>
        <w:t xml:space="preserve">konsolidiranom proračunu, </w:t>
      </w:r>
      <w:r w:rsidRPr="00380D9E">
        <w:rPr>
          <w:rFonts w:ascii="Trebuchet MS" w:eastAsia="Times New Roman" w:hAnsi="Trebuchet MS" w:cs="Arial"/>
          <w:bCs/>
          <w:kern w:val="32"/>
          <w:sz w:val="24"/>
          <w:szCs w:val="24"/>
          <w:lang w:eastAsia="hr-HR"/>
        </w:rPr>
        <w:t xml:space="preserve">na razini 23, odnosno na isti način na koji je proračun i donesen. </w:t>
      </w:r>
    </w:p>
    <w:p w:rsidR="00380D9E" w:rsidRPr="00380D9E" w:rsidRDefault="00380D9E" w:rsidP="00380D9E">
      <w:pPr>
        <w:keepNext/>
        <w:spacing w:before="240" w:after="60" w:line="240" w:lineRule="auto"/>
        <w:ind w:firstLine="708"/>
        <w:jc w:val="both"/>
        <w:outlineLvl w:val="0"/>
        <w:rPr>
          <w:rFonts w:ascii="Trebuchet MS" w:eastAsia="Times New Roman" w:hAnsi="Trebuchet MS" w:cs="Arial"/>
          <w:b/>
          <w:bCs/>
          <w:kern w:val="32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Arial"/>
          <w:bCs/>
          <w:kern w:val="32"/>
          <w:sz w:val="24"/>
          <w:szCs w:val="24"/>
          <w:lang w:eastAsia="hr-HR"/>
        </w:rPr>
        <w:t xml:space="preserve"> </w:t>
      </w:r>
    </w:p>
    <w:p w:rsidR="00380D9E" w:rsidRPr="00380D9E" w:rsidRDefault="00380D9E" w:rsidP="00380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keepNext/>
        <w:spacing w:before="240" w:after="60" w:line="240" w:lineRule="auto"/>
        <w:ind w:firstLine="708"/>
        <w:outlineLvl w:val="0"/>
        <w:rPr>
          <w:rFonts w:ascii="Trebuchet MS" w:eastAsia="Times New Roman" w:hAnsi="Trebuchet MS" w:cs="Arial"/>
          <w:b/>
          <w:bCs/>
          <w:kern w:val="32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Arial"/>
          <w:b/>
          <w:bCs/>
          <w:kern w:val="32"/>
          <w:sz w:val="24"/>
          <w:szCs w:val="24"/>
          <w:lang w:eastAsia="hr-HR"/>
        </w:rPr>
        <w:t xml:space="preserve">Porez i prirez na dohodak </w:t>
      </w: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Proračunom Grada Ivanić-Grada za 2017. godinu, odnosno I izmjenama Proračuna Grada ovaj prihod je planiran u iznosu 22.750.000 kuna, a ostvaren je u iznosu od </w:t>
      </w:r>
      <w:r w:rsidRPr="00380D9E">
        <w:rPr>
          <w:rFonts w:ascii="Trebuchet MS" w:eastAsia="Times New Roman" w:hAnsi="Trebuchet MS" w:cs="Arial"/>
          <w:bCs/>
          <w:sz w:val="24"/>
          <w:szCs w:val="24"/>
          <w:lang w:eastAsia="hr-HR"/>
        </w:rPr>
        <w:t>11.792.192</w:t>
      </w:r>
      <w:r w:rsidRPr="00380D9E">
        <w:rPr>
          <w:rFonts w:ascii="Trebuchet MS" w:eastAsia="Times New Roman" w:hAnsi="Trebuchet MS" w:cs="Arial"/>
          <w:b/>
          <w:bCs/>
          <w:sz w:val="20"/>
          <w:szCs w:val="20"/>
          <w:lang w:eastAsia="hr-HR"/>
        </w:rPr>
        <w:t xml:space="preserve"> 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kune, odnosno 51,83% od godišnjeg plana.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U prvom polugodištu nije bilo povrata poreza po godišnjim prijavama, kao i prošle godine.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U usporedbi sa prošlom godinom je vidljivo da je ova vrsta prihoda pala za 2%.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Od navedenog iznosa iz Državnog proračuna dobiveno je 1.687.363 kune, kao razliku između prošlogodišnjih ostvarenih sredstava i ovogodišnjih ostvarenih sredstava iz poreza i prireza na dohodak. Što znači da je toliko ostvareno manje sredstava temeljem porezne reforme.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Međutim, navedena sredstva dobivamo retroaktivno, tek nakon proteka mjeseca, kada FINA utvrdi točan iznos ostvarenih sredstava, tako da Grad Ivanić-Grad raspolaže mjesečno sa manje novaca, nego prošle godine, što utječe na rezultat poslovanja, kao i likvidnost plaćanja iz proračuna.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lastRenderedPageBreak/>
        <w:t xml:space="preserve">Porezi na imovinu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Ostvareni </w:t>
      </w: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465.556</w:t>
      </w: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 kuna, a porezi na imovinu su: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Porezi </w:t>
      </w: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na kuće za odmor, 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ostvaren je u iznosu 3.305 kuna, razlog manjem ostvarenju jest što rješenja za razrez poreza se izdaju u drugom kvartalu, a naplata se očekuje u trećem kvartalu, i </w:t>
      </w: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Porez na korištenje javnih površina </w:t>
      </w: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o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stvaren je u iznosu 51.439  kuna.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Porez na promet nekretnina </w:t>
      </w: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(povremeni porezi na imovinu</w:t>
      </w: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)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ostvaren je sa   410.812 kuna.  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Porezi na robu i usluge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Ostvareni su sa 265.677 kuna, </w:t>
      </w: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porezi na robu i usluge su: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(Porez na promet) Porez na potrošnju alkoholnih i bezalkoholnih pića ostvaren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je 198.217 kuna,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(Porez na korištenje dobara) P</w:t>
      </w: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orez na tvrtku odnosno naziv 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ostvaren je 67.460  kuna, radi se prihodima iz prethodnih godina, budući da je porez na tvrtku ukinut od 2017. godine.  </w:t>
      </w: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i/>
          <w:sz w:val="24"/>
          <w:szCs w:val="24"/>
          <w:u w:val="single"/>
          <w:lang w:eastAsia="hr-HR"/>
        </w:rPr>
      </w:pPr>
      <w:r w:rsidRPr="00380D9E">
        <w:rPr>
          <w:rFonts w:ascii="Trebuchet MS" w:eastAsia="Times New Roman" w:hAnsi="Trebuchet MS" w:cs="Times New Roman"/>
          <w:b/>
          <w:i/>
          <w:sz w:val="24"/>
          <w:szCs w:val="24"/>
          <w:u w:val="single"/>
          <w:lang w:eastAsia="hr-HR"/>
        </w:rPr>
        <w:t>Pomoći proračunu iz drugih proračuna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i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i/>
          <w:sz w:val="24"/>
          <w:szCs w:val="24"/>
          <w:lang w:eastAsia="hr-HR"/>
        </w:rPr>
        <w:t xml:space="preserve">         </w:t>
      </w:r>
      <w:r w:rsidRPr="00380D9E">
        <w:rPr>
          <w:rFonts w:ascii="Trebuchet MS" w:eastAsia="Times New Roman" w:hAnsi="Trebuchet MS" w:cs="Times New Roman"/>
          <w:b/>
          <w:i/>
          <w:sz w:val="24"/>
          <w:szCs w:val="24"/>
          <w:u w:val="single"/>
          <w:lang w:eastAsia="hr-HR"/>
        </w:rPr>
        <w:t>Tekuće pomoći</w:t>
      </w:r>
      <w:r w:rsidRPr="00380D9E">
        <w:rPr>
          <w:rFonts w:ascii="Trebuchet MS" w:eastAsia="Times New Roman" w:hAnsi="Trebuchet MS" w:cs="Times New Roman"/>
          <w:b/>
          <w:i/>
          <w:sz w:val="24"/>
          <w:szCs w:val="24"/>
          <w:lang w:eastAsia="hr-HR"/>
        </w:rPr>
        <w:t xml:space="preserve">  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ostvarene su u iznosu 48.101 kuna, a odnose se na prihode iz  </w:t>
      </w: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Žuupanijskog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proračuna za pametnu klupu 15.325  kuna, te prihode iz državnog  proračuna koje su ostvarili proračunski korisnici -  Dječji vrtić 32.776  kuna.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Kapitalne pomoći iz Državnog i županijskog proračuna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Ostvarene su u iznosu 419.500 kuna i to: 57.000 kuna iz Fonda za zaštitu okoliša za projekte gospodarenja otpadom, zatim  40.000  kuna iz Županijskog proračuna projekte, odnosno 250.000 kuna za cestu u UPU3, te 72.500 za sufinanciranje prostornih planova iz Državnog proračuna.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Pomoći izravnanja za decentralizirane funkcije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Tekuće potpore iz Državnog proračuna za financiranje decentralizirane funkcije vatrogastva realizirane su 1.370.456 kuna.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u w:val="single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  <w:t>Prihodi od financijske imovine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</w:t>
      </w:r>
    </w:p>
    <w:p w:rsidR="00380D9E" w:rsidRPr="00380D9E" w:rsidRDefault="00380D9E" w:rsidP="00380D9E">
      <w:pPr>
        <w:numPr>
          <w:ilvl w:val="0"/>
          <w:numId w:val="4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kamata ostvareni su 59 kuna.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  <w:t>Prihodi od nefinancijske imovine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4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ostvareni su sa 584.945 kuna, a odnose se na:</w:t>
      </w:r>
    </w:p>
    <w:p w:rsidR="00380D9E" w:rsidRP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b/>
          <w:i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i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i/>
          <w:sz w:val="24"/>
          <w:szCs w:val="24"/>
          <w:lang w:eastAsia="hr-HR"/>
        </w:rPr>
        <w:lastRenderedPageBreak/>
        <w:t>Prihodi od zakupa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Ostvaren je sa 354.991 kuna, odnose se na: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prihodi od zakupa poslovnih prostora kojima od 2014. godine upravlja Grad Ivanić-Grad, u iznosu 148.838 kuna, iznos od 21.098 kuna ostvaren od zakupa poljoprivrednog zemljišta u vlasništvu Grada, te iznos od 185.084 kuna ostvaren od zakupa državnog poljoprivrednog zemljišta.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Naknada za korištenje nefinancijske imovine ostvarena u iznosu 180.047 kuna odnosi se na naknadu koju plaća HT sukladno potpisanom ugovoru za osnivanje prava služnosti na javnim površinama, a odnosi se na 2017. godinu.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Ostali prihodi od nefinancijske imovine odnosi se na prihod od legalizacije u iznosu 49.907 kuna.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  <w:t>Prihodi od upravnih i administrativnih pristojbi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odnosi se na prihode od prodaje upravnih pristojbi – biljega 91.840 kuna.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  <w:t xml:space="preserve">Prihodi po posebnim propisima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Ostvareni su sa 5.060.543 kune, a odnose se na: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prihodi vodnog gospodarstva – prihodi od naknade za uređenje voda 123.954 kune, </w:t>
      </w: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Doprinosi za šume iznose 122.717 kuna.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Ostali nespomenuti prihodi:</w:t>
      </w:r>
    </w:p>
    <w:p w:rsidR="00380D9E" w:rsidRPr="00380D9E" w:rsidRDefault="00380D9E" w:rsidP="00380D9E">
      <w:pPr>
        <w:spacing w:after="0" w:line="240" w:lineRule="auto"/>
        <w:ind w:left="106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left="106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Rudna renta</w:t>
      </w: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 xml:space="preserve"> (Naknada za pridobivene količine energentskih mineralnih sirovina, naknada za istraživanje mineralnih sirovina) iznose 4.813.871 kunu i to: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Prihodi od rudne rente planirani su 8.090.000 kuna, a ostvareno je 3.442.179 kuna, što je 43 % u odnosu na plan.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ostali nespomenuti prihodi, odnose na prihode od naknade šteta prijavljenih osiguravajućoj kući, prihodi od troškova ovrha, vodni doprinos, ukupno ostvarenje prihoda po toj osnovi je 165.961 kuna.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Položajna renta je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ostvarena u iznosu 31.696 kuna, a odnosi se na naknadu koju plaćaju općina Križ i Kloštar Ivanić prema količini odloženog otpada na odlagalištu </w:t>
      </w: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Tarno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, uplata se odnosi na općinu Kloštar Ivanić.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Preostali prihodi po posebnim propisima odnosi se na prihode od obavljanja djelatnosti koje su ostvarili proračunski korisnici (Dječji vrtić) -  1.174.034 kune.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Komunalni doprinosi i naknade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Komunalni doprinos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- ostvaren je sa 503.719 kuna što je realizacija 36 % u odnosu na  proteklu godinu. 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Komunalna naknada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ostvareno je 3.349.386 kune, što je gotovo istovjetno u odnosu na ostvarenje prošle godine.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  <w:t xml:space="preserve">Prihodi od prodaje proizvoda i robe, te pruženih usluga te prihodi iz nadležnog proračuna za financiranje redovne djelatnosti proračunskih korisnika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Odnose se na vlastite prihode proračunskih korisnika: Pučko otvoreno učilište 259.933 kune, Vatrogasna postrojba 1.363,556 kuna, Gradski muzej 2.150 kuna, Gradska knjižnica 40.530 kuna.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Donacije od pravnih osoba izvan općeg proračuna, odnosi se na donacije banaka i trgovačkih društava za gradske projekte 99.177 kuna.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  <w:t>Prodaja zemljišta - Prihodi od prodaje nefinancijske imovine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Prihodi od prodaje državnog poljoprivrednog zemljišta 102.557 kuna, prihod od prodaje građevinskog zemljišta 289.250 kuna, odnosno ukupno 391.807 kuna.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Prihodi od prodaje stanova – dugoročna otplata stanova na kojima postoji stanarsko pravo, ostvareni su sa 129.346 kuna.</w:t>
      </w:r>
    </w:p>
    <w:p w:rsidR="00380D9E" w:rsidRP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i/>
          <w:sz w:val="24"/>
          <w:szCs w:val="24"/>
          <w:u w:val="single"/>
          <w:lang w:eastAsia="hr-HR"/>
        </w:rPr>
      </w:pPr>
    </w:p>
    <w:p w:rsid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i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i/>
          <w:sz w:val="24"/>
          <w:szCs w:val="24"/>
          <w:u w:val="single"/>
          <w:lang w:eastAsia="hr-HR"/>
        </w:rPr>
      </w:pPr>
      <w:r w:rsidRPr="00380D9E">
        <w:rPr>
          <w:rFonts w:ascii="Trebuchet MS" w:eastAsia="Times New Roman" w:hAnsi="Trebuchet MS" w:cs="Times New Roman"/>
          <w:b/>
          <w:i/>
          <w:sz w:val="24"/>
          <w:szCs w:val="24"/>
          <w:u w:val="single"/>
          <w:lang w:eastAsia="hr-HR"/>
        </w:rPr>
        <w:lastRenderedPageBreak/>
        <w:t>Konsolidirani prihodi proračunskih korisnika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 xml:space="preserve">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Prihodi Dječjeg vrtića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ukupno ostvareni prihodi Dječjeg vrtića iznose 1.200.005  kuna, uglavnom su to prihodi ostvareni od participacije cijene dječjeg vrtića.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Prihodi Pučkog otvorenog učilišta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ostvareno je 259.933 kuna.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 xml:space="preserve">Vatrogasna postrojba Grada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ostvareno je 1.363.102 kune.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Gradski muzej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ostvario je 3.727 kuna vlastitih prihoda.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Gradska knjižnica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3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ostvareno je 40.530 kuna.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Od kreditnog zaduženja realizirano je ove godine 5.755.981 kunu, odnosno zajedno sa prošlogodišnjom realizacijom ukupno 12.436.706 kuna.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Ukupno ostvareni prihodi iznose 32.565.229  kuna.</w:t>
      </w:r>
    </w:p>
    <w:p w:rsid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8"/>
          <w:szCs w:val="28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8"/>
          <w:szCs w:val="28"/>
          <w:lang w:eastAsia="hr-HR"/>
        </w:rPr>
        <w:t>II P o s e b n i   d i o – Programski, Organizacijski, Ekonomski izvještaj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R a s h o d i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po programskoj, organizacijskoj, i ekonomskoj klasifikaciji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lastRenderedPageBreak/>
        <w:t>Organizacijska klasifikacija: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podijeljena je na dva upravna odjela i to: Odjel za lokalnu samoupravu, pravne poslove i društvene djelatnosti za čije je financiranje utrošeno</w:t>
      </w:r>
    </w:p>
    <w:p w:rsidR="00380D9E" w:rsidRPr="00380D9E" w:rsidRDefault="00380D9E" w:rsidP="00380D9E">
      <w:pPr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19.066.896 kuna i Upravni odjel za financije, gospodarstvo, komunalne djelatnosti i prostorno planiranje čiji rashodi iznose 15.047.056 kuna.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Ekonomska klasifikacija – </w:t>
      </w: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prikazani temeljem računskog plana za proračun i proračunske korisnike i to na četvrtoj razini.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Programska klasifikacija – </w:t>
      </w: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rashodi raspoređeni po  programima, aktivnostima, kapitalnim i tekućim projektima.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u w:val="single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u w:val="single"/>
          <w:lang w:eastAsia="hr-HR"/>
        </w:rPr>
        <w:t>Razdjel 1.</w:t>
      </w: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 Odjel za lokalnu samoupravu, pravne poslove i društvene djelatnosti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Rashodi ovog razdjela Upravnog odjela za lokalnu samoupravu, pravne poslove i  društvene djelatnosti  izvršeni su u skladu s planom, planirano je 36.729.800 kuna, a izvršeno 19.066.896, odnosno 52%.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Javna uprava i administracija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Svi rashodi realizirani su u okviru planiranih iznosa, osim rashoda za  usluge, u dijelu rashoda za intelektualne usluge, a koji planski iznos je povećan II izmjenama proračuna Grada.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Uredska oprema i  namještaj povećan je zbog nabave info pulta u prizemlju Gradske vijećnice.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Gospodarski uzlet je manifestacija koja je realizirana sa 100.006 kuna, što je više od plana, te je navedeni iznos također povećan II izmjenama proračuna Grada.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Osnovno obrazovanje, srednjoškolsko i visoko obrazovanje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Svi rashodi realizirani su u okviru planiranih iznosa.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Kulturne  i sportske djelatnosti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Realizirane su u  skladu sa  planiranim sredstvima, realiziranim projektima odnosno programima.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lastRenderedPageBreak/>
        <w:t>Ostali korisnici – civilno društvo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Svim korisnicima koji su dostavili financijske izvještaje, planove, žiro račune i zahtjeve, doznačena su sredstva u skladu sa planom, potpisanim Ugovorima odnosno pisanim zahtjevima za sredstva.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Više su utrošena sredstva za rad političkih stranaka, sukladno donesenim Odlukama Gradskog vijeća.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Zdravstvo i socijalna zaštita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Sredstva namijenjena za socijalno ugrožene  planirana su 3.245.000 kuna, a ostvarena 1.457.225 kuna, što je 45% od planiranih iznosa. Sredstva za socijalnu zaštitu su doznačavana u skladu sa zahtjevima, manje realizirana sredstva odnose se na sredstva za nabavu udžbenika za osnovne škole koja će se realizirati u drugom dijelu godine.   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Zaštita od požara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tabs>
          <w:tab w:val="left" w:pos="8124"/>
        </w:tabs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Realizirane stavke su u  skladu sa  planiranim sredstvima.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ab/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Turizam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Realizirane stavke su u skladu sa planiranim sredstvima, utrošena su sredstva za manifestacije za Dane grada, i Festival igračaka budući da su se navedene manifestacije održale.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Sredstva za rad ureda turističke zajednice utrošena su u skladu s planom.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Neutrošena su sredstva za </w:t>
      </w: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Bučijadu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Više utrošena sredstva za turističke i ostale manifestacije odnose se na održane manifestacije, proslave Dana žena i otvaranje sportskog parka </w:t>
      </w:r>
      <w:proofErr w:type="spellStart"/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Zelenjak</w:t>
      </w:r>
      <w:proofErr w:type="spellEnd"/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Proračunski korisnici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Predškolski odgoj Dječji vrtić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Svi rashodi izvršeni su u planiranim okvirima i trošeni su u skladu sa ostvarenim sredstvima, proračuna kao i vlastitim sredstvima.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lastRenderedPageBreak/>
        <w:t>Pučko otvoreno učilište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Rashodi za financiranje Pučkog otvorenog učilišta izvršeni su u skladu sa planiranim sredstvima.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Vatrogasna postrojba i zajednica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Sredstva su izvršena u okviru  planiranih  sredstava. 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Gradski muzej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Sredstva su izvršena u okviru  planiranih  sredstava. 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Gradska knjižnica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Novi proračunski korisnik, trošio je sredstva u skladu s planom</w:t>
      </w: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u w:val="single"/>
          <w:lang w:eastAsia="hr-HR"/>
        </w:rPr>
        <w:t>Razdjel 2.</w:t>
      </w: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 Upravni odjel za financije, gospodarstvo, komunalne djelatnosti i prostorno planiranje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Ukupni rashodi razdjela planirani su sa 56.824.800 kuna, a ostvareni sa 15.017.055  kuna što je 26,5 % u odnosu na plan.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U okviru Programa javna uprava i administracija realizirani su programi za povrate sredstava, isplatu šteta od elementarnih nepogoda, otplatu kredita, glavnice i kamata, koji su realizirani sa 519.425  kuna, što je više od plana, a razlog su isplata sredstava za elementarne nepogode koje su uplaćene u Gradski proračun, krajem prošle godine, te su sredstva isplaćena početkom ove godine. Navedena sredstva usklađena su sa stvarnim stanjem II izmjenama Proračuna Grada.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Na bankarske usluge i usluge platnog prometa odnosi se 89.569, a otkup zemljišta 137.075 kuna.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U prvom polugodištu otplaćeno je 678.004 kune kredita, glavnice i kamate.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u w:val="single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U okviru Programa razvoj gospodarstva, utrošeno je 1.561.486 kune od planiranih 2.685.000 kuna.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Navedena utrošena sredstva odnose se na: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Subvencioniranje poduzetništva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, u okviru planiranih sredstava za LAG Moslavina, te Udruženju obrtnika  su realizirane u iznosu 75.658  kuna.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lastRenderedPageBreak/>
        <w:t>Informiranje građana i poduzetnika</w:t>
      </w: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odnosi se na donacije Obiteljskom radiju.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Projekti subvencioniranja energetske učinkovitosti planirani sa 595.000 realizirani su u iznosu 281.868  kuna, a odnose se na: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projekti energetske učinkovitosti objekata dječjeg vrtića, te subvencije za razne projekte </w:t>
      </w: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interregionalne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suradnje. </w:t>
      </w:r>
    </w:p>
    <w:p w:rsidR="00380D9E" w:rsidRPr="00380D9E" w:rsidRDefault="00380D9E" w:rsidP="00380D9E">
      <w:pPr>
        <w:spacing w:after="0" w:line="240" w:lineRule="auto"/>
        <w:ind w:left="106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U dijelu proračuna namijenjenih poljoprivredi utrošena su sredstva u iznosu 864.293 kunu u odnosu na planiranih 1.230.000 kuna i to  za selekcijsku službu 24.304 kuna, kao i premije osiguranja u poljoprivredi 20.715 kuna, održavanje tucaničkih cesta 135.250 kuna, financiranje projekata i programa u poljoprivredi 50.000 kuna, Poljoprivredni fond 50.475 kuna, asfaltiranje tucaničkih cesta 583.548. 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Sredstva za razvojnu agenciju za provedbu Europskih projekata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2"/>
        </w:numPr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utrošena su sredstva za osnivanje agencije u iznosu 165.000  kuna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 xml:space="preserve">Održavanje komunalne infrastrukture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Planirana sredstva iznose 9.380.000 kuna, a izvršena su sa 4.835.432 kuna odnosno 48%. 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Sredstva su trošena u skladu s planom.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Održavanje objekata u javnoj funkciji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Od planiranih sredstava u iznosu 1.350.000 kuna,  utrošena su sredstva za tekuće i investicijsko održavanje društvenih domova u iznosu 641.964 kuna, sredstva za čišćenje, električnu energiju, plin, vodu, smeće i ostale troškove gradske imovine (društveni domovi i ostali objekti) trošena su u skladu sa planom. 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 xml:space="preserve">Izgradnja komunalne infrastrukture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Planirana sredstva iznose 15.811.000 kuna, a ostvarena 6.053.744 kune odnosno 38%.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Utrošena sredstva se odnose na: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lastRenderedPageBreak/>
        <w:t>Kanalizacija i nogostup Šumećani 408.565 kuna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Izgradnja cesta sa pripadajućom infrastrukturom – odnosi se na popravak cesta 427.917 kuna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Vodovodi, plinovodi na području grada 6.771 kunu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Projekti gospodarenja otpadom 201.903 kune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Zelenjak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– uređenje sportskog parka 4.455.149 kuna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Planinarski dom u </w:t>
      </w: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Graberskom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 brdu 127.481 kunu 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Skate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park 124.375 kuna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Izgradnja kuća </w:t>
      </w: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Permakultura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otkup zemljišta 65.800 kuna 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obnova mostova 15.903 kune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izgradnja parkirališta kod dvorane </w:t>
      </w: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Žeravinec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193.629 kuna</w:t>
      </w: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Šetnica uz rijeku Lonju 895.051 kunu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Za program LIFE </w:t>
      </w: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Living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</w:t>
      </w:r>
      <w:proofErr w:type="spellStart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>streets</w:t>
      </w:r>
      <w:proofErr w:type="spellEnd"/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 xml:space="preserve"> utrošeno je 85.209 kuna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tabs>
          <w:tab w:val="left" w:pos="2928"/>
        </w:tabs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sz w:val="24"/>
          <w:szCs w:val="24"/>
          <w:lang w:eastAsia="hr-HR"/>
        </w:rPr>
        <w:tab/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left="106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>Kapitalne pomoći trgovačkim društvima</w:t>
      </w:r>
    </w:p>
    <w:p w:rsidR="00380D9E" w:rsidRPr="00380D9E" w:rsidRDefault="00380D9E" w:rsidP="00380D9E">
      <w:pPr>
        <w:spacing w:after="0" w:line="240" w:lineRule="auto"/>
        <w:ind w:left="106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isplaćena je kapitalna pomoć IVAPLINU d.o.o.  sukladno odluci Gradskog vijeća 200.000 kuna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Izgradnja poslovnih objekata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numPr>
          <w:ilvl w:val="0"/>
          <w:numId w:val="1"/>
        </w:numPr>
        <w:spacing w:after="0" w:line="240" w:lineRule="auto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utrošena su sredstva za projekte školske dvorane u Posavskim </w:t>
      </w:r>
      <w:proofErr w:type="spellStart"/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Bregima</w:t>
      </w:r>
      <w:proofErr w:type="spellEnd"/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 xml:space="preserve"> 43.750 kuna, te poduzetnički inkubator 28.867 kuna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Cs/>
          <w:sz w:val="24"/>
          <w:szCs w:val="24"/>
          <w:lang w:eastAsia="hr-HR"/>
        </w:rPr>
        <w:t>Za uređenje društvenih domova po mjesnim odborima utrošeno je 31.221 kunu.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  <w:t>Programi zaštite prirode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 xml:space="preserve">Ukupni rashodi iznose 34.113.952 kuna, što je 36,5% u odnosu na godišnji plan.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b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  <w:r w:rsidRPr="00380D9E">
        <w:rPr>
          <w:rFonts w:ascii="Trebuchet MS" w:eastAsia="Times New Roman" w:hAnsi="Trebuchet MS" w:cs="Times New Roman"/>
          <w:b/>
          <w:sz w:val="24"/>
          <w:szCs w:val="24"/>
          <w:lang w:eastAsia="hr-HR"/>
        </w:rPr>
        <w:t xml:space="preserve">Razlika – manje ostvareni prihodi  nad rashodima za 1. – 6. mjesec 2017. godine iznose </w:t>
      </w:r>
      <w:r w:rsidRPr="00380D9E">
        <w:rPr>
          <w:rFonts w:ascii="Trebuchet MS" w:eastAsia="Times New Roman" w:hAnsi="Trebuchet MS" w:cs="Arial"/>
          <w:b/>
          <w:sz w:val="24"/>
          <w:szCs w:val="24"/>
          <w:lang w:eastAsia="hr-HR"/>
        </w:rPr>
        <w:t xml:space="preserve">1.648.722 kuna,  prenose se u slijedeće razdoblje - polugodište  što povećava manjak iz prethodnog perioda. </w:t>
      </w: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ind w:firstLine="708"/>
        <w:jc w:val="both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380D9E" w:rsidRPr="00380D9E" w:rsidRDefault="00380D9E" w:rsidP="00380D9E">
      <w:pPr>
        <w:spacing w:after="0" w:line="240" w:lineRule="auto"/>
        <w:rPr>
          <w:rFonts w:ascii="Trebuchet MS" w:eastAsia="Times New Roman" w:hAnsi="Trebuchet MS" w:cs="Times New Roman"/>
          <w:sz w:val="24"/>
          <w:szCs w:val="24"/>
          <w:lang w:eastAsia="hr-HR"/>
        </w:rPr>
      </w:pPr>
    </w:p>
    <w:p w:rsidR="00E5394E" w:rsidRDefault="00E5394E"/>
    <w:sectPr w:rsidR="00E5394E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63C" w:rsidRDefault="00380D9E">
    <w:pPr>
      <w:pStyle w:val="Podnoje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08663C" w:rsidRDefault="00380D9E">
    <w:pPr>
      <w:pStyle w:val="Podnoje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C3FF6"/>
    <w:multiLevelType w:val="hybridMultilevel"/>
    <w:tmpl w:val="72A008D2"/>
    <w:lvl w:ilvl="0" w:tplc="0BC017A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BD1A15"/>
    <w:multiLevelType w:val="hybridMultilevel"/>
    <w:tmpl w:val="07267D90"/>
    <w:lvl w:ilvl="0" w:tplc="D150AA70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192739"/>
    <w:multiLevelType w:val="hybridMultilevel"/>
    <w:tmpl w:val="0B806F42"/>
    <w:lvl w:ilvl="0" w:tplc="39D61A8E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E032D0D"/>
    <w:multiLevelType w:val="hybridMultilevel"/>
    <w:tmpl w:val="D06EB2DE"/>
    <w:lvl w:ilvl="0" w:tplc="FFD8C78C">
      <w:start w:val="54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B9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2C7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479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0D9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28CE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343"/>
    <w:rsid w:val="007B1C93"/>
    <w:rsid w:val="007B2A75"/>
    <w:rsid w:val="007B64A6"/>
    <w:rsid w:val="007B7CF0"/>
    <w:rsid w:val="007B7FB9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2501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175F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4FE0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12304-9324-4D29-8728-CF8B3FA5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80D9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380D9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2174</Words>
  <Characters>12398</Characters>
  <Application>Microsoft Office Word</Application>
  <DocSecurity>0</DocSecurity>
  <Lines>103</Lines>
  <Paragraphs>29</Paragraphs>
  <ScaleCrop>false</ScaleCrop>
  <Company/>
  <LinksUpToDate>false</LinksUpToDate>
  <CharactersWithSpaces>14543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</cp:revision>
  <dcterms:created xsi:type="dcterms:W3CDTF">2017-09-15T09:58:00Z</dcterms:created>
  <dcterms:modified xsi:type="dcterms:W3CDTF">2017-09-15T10:00:00Z</dcterms:modified>
</cp:coreProperties>
</file>