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F7FD3" w14:textId="77777777" w:rsidR="00962746" w:rsidRDefault="00694537">
      <w:pPr>
        <w:spacing w:after="0" w:line="265" w:lineRule="auto"/>
        <w:ind w:left="-5"/>
        <w:jc w:val="left"/>
      </w:pPr>
      <w:r>
        <w:rPr>
          <w:b/>
          <w:sz w:val="28"/>
        </w:rPr>
        <w:t>DJEČJI VRTIĆ RODA</w:t>
      </w:r>
    </w:p>
    <w:p w14:paraId="4787B56B" w14:textId="77777777" w:rsidR="00962746" w:rsidRDefault="00694537">
      <w:pPr>
        <w:spacing w:after="622" w:line="265" w:lineRule="auto"/>
        <w:ind w:left="-5"/>
        <w:jc w:val="left"/>
      </w:pPr>
      <w:r>
        <w:rPr>
          <w:b/>
          <w:sz w:val="28"/>
        </w:rPr>
        <w:t>IVANIĆ-GRAD, VULINČEVA 1</w:t>
      </w:r>
    </w:p>
    <w:p w14:paraId="3C4795B3" w14:textId="77777777" w:rsidR="00962746" w:rsidRDefault="00694537">
      <w:pPr>
        <w:spacing w:after="0" w:line="265" w:lineRule="auto"/>
        <w:ind w:right="1"/>
        <w:jc w:val="center"/>
      </w:pPr>
      <w:r>
        <w:rPr>
          <w:b/>
          <w:color w:val="2E75B5"/>
          <w:sz w:val="28"/>
        </w:rPr>
        <w:t>Bilješke uz financijske izvještaje poduzetnika za razdoblje</w:t>
      </w:r>
    </w:p>
    <w:p w14:paraId="2146C6FA" w14:textId="77777777" w:rsidR="00962746" w:rsidRDefault="00694537">
      <w:pPr>
        <w:spacing w:after="530" w:line="265" w:lineRule="auto"/>
        <w:ind w:right="2"/>
        <w:jc w:val="center"/>
      </w:pPr>
      <w:r>
        <w:rPr>
          <w:b/>
          <w:color w:val="2E75B5"/>
          <w:sz w:val="28"/>
        </w:rPr>
        <w:t>01.01.2023. do 31.12.2023. godine</w:t>
      </w:r>
    </w:p>
    <w:p w14:paraId="334C1B38" w14:textId="77777777" w:rsidR="00962746" w:rsidRDefault="00694537">
      <w:pPr>
        <w:pStyle w:val="Heading1"/>
        <w:tabs>
          <w:tab w:val="center" w:pos="2387"/>
        </w:tabs>
        <w:ind w:left="-15" w:firstLine="0"/>
      </w:pPr>
      <w:r>
        <w:rPr>
          <w:rFonts w:ascii="Times New Roman" w:eastAsia="Times New Roman" w:hAnsi="Times New Roman" w:cs="Times New Roman"/>
        </w:rPr>
        <w:t>I.</w:t>
      </w:r>
      <w:r>
        <w:rPr>
          <w:rFonts w:ascii="Times New Roman" w:eastAsia="Times New Roman" w:hAnsi="Times New Roman" w:cs="Times New Roman"/>
        </w:rPr>
        <w:tab/>
      </w:r>
      <w:r>
        <w:t>INFORMACIJE O DRUŠTVU</w:t>
      </w:r>
    </w:p>
    <w:p w14:paraId="09BD083E" w14:textId="77777777" w:rsidR="00962746" w:rsidRDefault="00694537">
      <w:pPr>
        <w:ind w:left="-5"/>
      </w:pPr>
      <w:r>
        <w:t>DJEČJI VRTIĆ RODA, IVANIĆ-GRAD (u nastavku: Društvo), OIB 07299887895, MBS 080926073 osnovano je prema zakonima i propisima Republike Hrvatske kao ustanova.</w:t>
      </w:r>
    </w:p>
    <w:p w14:paraId="33F1DE48" w14:textId="77777777" w:rsidR="00962746" w:rsidRDefault="00694537">
      <w:pPr>
        <w:ind w:left="-5"/>
      </w:pPr>
      <w:r>
        <w:t>Sjedište: IVANIĆ-GRAD, VULINČEVA 1</w:t>
      </w:r>
    </w:p>
    <w:p w14:paraId="60E94CFE" w14:textId="77777777" w:rsidR="00962746" w:rsidRDefault="00694537">
      <w:pPr>
        <w:ind w:left="-5"/>
      </w:pPr>
      <w:r>
        <w:t>Uprava: MAJA RODIĆ ŠKONDRO, direktor Društva</w:t>
      </w:r>
    </w:p>
    <w:p w14:paraId="713B8822" w14:textId="77777777" w:rsidR="00962746" w:rsidRDefault="00694537">
      <w:pPr>
        <w:ind w:left="-5"/>
      </w:pPr>
      <w:r>
        <w:t>Osnovna djelatnost: Predškolsko obrazovanje</w:t>
      </w:r>
    </w:p>
    <w:p w14:paraId="13E274B8" w14:textId="77777777" w:rsidR="00962746" w:rsidRDefault="00694537" w:rsidP="00694537">
      <w:pPr>
        <w:spacing w:after="0"/>
        <w:ind w:left="-5"/>
      </w:pPr>
      <w:r>
        <w:t>Prosječan broj zaposlenih tijekom izvještajnog razdoblja: 5</w:t>
      </w:r>
    </w:p>
    <w:p w14:paraId="54569F22" w14:textId="77777777" w:rsidR="00694537" w:rsidRDefault="00694537" w:rsidP="00694537">
      <w:pPr>
        <w:spacing w:after="0"/>
        <w:ind w:left="-5"/>
      </w:pPr>
    </w:p>
    <w:p w14:paraId="71A46DC3" w14:textId="77777777" w:rsidR="00962746" w:rsidRDefault="00694537">
      <w:pPr>
        <w:pStyle w:val="Heading1"/>
        <w:tabs>
          <w:tab w:val="center" w:pos="3978"/>
        </w:tabs>
        <w:ind w:left="-15" w:firstLine="0"/>
      </w:pPr>
      <w:r>
        <w:rPr>
          <w:rFonts w:ascii="Times New Roman" w:eastAsia="Times New Roman" w:hAnsi="Times New Roman" w:cs="Times New Roman"/>
        </w:rPr>
        <w:t>II.</w:t>
      </w:r>
      <w:r>
        <w:rPr>
          <w:rFonts w:ascii="Times New Roman" w:eastAsia="Times New Roman" w:hAnsi="Times New Roman" w:cs="Times New Roman"/>
        </w:rPr>
        <w:tab/>
      </w:r>
      <w:r>
        <w:t>OSNOVE SASTAVLJANJA FINANCIJSKIH IZVJEŠTAJA</w:t>
      </w:r>
    </w:p>
    <w:p w14:paraId="4C13D783" w14:textId="77777777" w:rsidR="00962746" w:rsidRDefault="00694537">
      <w:pPr>
        <w:spacing w:after="0"/>
        <w:ind w:left="-5"/>
      </w:pPr>
      <w:r>
        <w:t>Financijski izvještaji Društva sastavljeni su sukladno Hrvatskim standardima financijskog izvještavanja koje je donio Odbor za standarde financijskog izvještavanja na temelju odredbi Zakona o računovodstvu. Na financijske izvještaje u 2023. godini primjenjuju se odredbe važećeg Zakona o računovodstvu te Hrvatskih računovodstvenih standarda. Financijski izvještaji sastavljeni su na osnovi povijesnog troška, a detaljnija određenja dana su uz pojedine pozicije izvještaja.</w:t>
      </w:r>
    </w:p>
    <w:p w14:paraId="303F983A" w14:textId="77777777" w:rsidR="00962746" w:rsidRDefault="00694537">
      <w:pPr>
        <w:spacing w:after="0"/>
        <w:ind w:left="-5"/>
      </w:pPr>
      <w:r>
        <w:t>Financijski izvještaji prezentiraju istinito i fer financijski položaj, financijsku uspješnost i novčane tijekove poduzetnika.</w:t>
      </w:r>
    </w:p>
    <w:p w14:paraId="12BFC888" w14:textId="6705A863" w:rsidR="00962746" w:rsidRDefault="00694537">
      <w:pPr>
        <w:spacing w:after="355"/>
        <w:ind w:left="-5"/>
      </w:pPr>
      <w:r>
        <w:t>Vjerno su predočeni učinci transakcija i drugih poslovnih događaja, a u skladu s kriterijima priznavanja imovine, obveza, kapitala, prihoda i rashoda.</w:t>
      </w:r>
    </w:p>
    <w:p w14:paraId="50C6247E" w14:textId="2618AA05" w:rsidR="00962746" w:rsidRDefault="00694537" w:rsidP="00BA4DD7">
      <w:pPr>
        <w:pStyle w:val="Heading1"/>
        <w:tabs>
          <w:tab w:val="center" w:pos="4274"/>
        </w:tabs>
        <w:ind w:left="-15" w:firstLine="0"/>
      </w:pPr>
      <w:r>
        <w:rPr>
          <w:rFonts w:ascii="Times New Roman" w:eastAsia="Times New Roman" w:hAnsi="Times New Roman" w:cs="Times New Roman"/>
        </w:rPr>
        <w:t>III.</w:t>
      </w:r>
      <w:r w:rsidR="00BA4DD7">
        <w:t xml:space="preserve">    </w:t>
      </w:r>
      <w:r>
        <w:t>BILANCA</w:t>
      </w:r>
    </w:p>
    <w:p w14:paraId="5C72CA24" w14:textId="77777777" w:rsidR="00962746" w:rsidRDefault="00694537">
      <w:pPr>
        <w:pStyle w:val="Heading2"/>
        <w:spacing w:after="257" w:line="259" w:lineRule="auto"/>
        <w:ind w:left="-5"/>
        <w:jc w:val="left"/>
      </w:pPr>
      <w:r>
        <w:rPr>
          <w:i/>
        </w:rPr>
        <w:t>AKTIVA</w:t>
      </w:r>
    </w:p>
    <w:p w14:paraId="3AC1B526" w14:textId="77777777" w:rsidR="00962746" w:rsidRDefault="00694537">
      <w:pPr>
        <w:pStyle w:val="Heading3"/>
        <w:ind w:left="-5"/>
      </w:pPr>
      <w:r>
        <w:t>DUGOTRAJNA IMOVINA</w:t>
      </w:r>
    </w:p>
    <w:p w14:paraId="344F4620" w14:textId="77777777" w:rsidR="00962746" w:rsidRDefault="00694537">
      <w:pPr>
        <w:pStyle w:val="Heading4"/>
        <w:ind w:left="-5"/>
      </w:pPr>
      <w:r>
        <w:t>Bilješka br. 1</w:t>
      </w:r>
    </w:p>
    <w:p w14:paraId="604212DD" w14:textId="77777777" w:rsidR="00962746" w:rsidRDefault="00694537">
      <w:pPr>
        <w:ind w:left="-5"/>
      </w:pPr>
      <w:r>
        <w:t>Dugotrajna imovina društva sastoji se od nematerijalne imovine, dugotrajne materijalne imovine, dugotrajne financijske imovine, dugoročnih potraživanja i odgođene porezne imovine.</w:t>
      </w:r>
    </w:p>
    <w:p w14:paraId="61DA8EEF" w14:textId="77777777" w:rsidR="00962746" w:rsidRDefault="00694537">
      <w:pPr>
        <w:ind w:left="-5"/>
      </w:pPr>
      <w:r>
        <w:t>Dugotrajna imovina na dan izvještavanja iznosila je 39.525,50 EUR.</w:t>
      </w:r>
    </w:p>
    <w:p w14:paraId="18AA612F" w14:textId="77777777" w:rsidR="00962746" w:rsidRDefault="00694537">
      <w:pPr>
        <w:pStyle w:val="Heading3"/>
        <w:spacing w:after="309"/>
        <w:ind w:left="-5" w:right="6041"/>
      </w:pPr>
      <w:r>
        <w:lastRenderedPageBreak/>
        <w:t xml:space="preserve">Nematerijalna imovina </w:t>
      </w:r>
      <w:r>
        <w:rPr>
          <w:i/>
          <w:color w:val="808080"/>
          <w:sz w:val="20"/>
          <w:u w:val="single" w:color="808080"/>
        </w:rPr>
        <w:t>Bilješka br. 2</w:t>
      </w:r>
    </w:p>
    <w:p w14:paraId="697458E5" w14:textId="77777777" w:rsidR="00962746" w:rsidRDefault="00694537">
      <w:pPr>
        <w:ind w:left="-5"/>
      </w:pPr>
      <w:r>
        <w:t>Knjigovodstvena vrijednost nematerijalne imovine na dan izvještavanja iznosila je 34.144,04 EUR.</w:t>
      </w:r>
    </w:p>
    <w:p w14:paraId="2F8346EC" w14:textId="77777777" w:rsidR="00962746" w:rsidRDefault="00694537">
      <w:pPr>
        <w:pStyle w:val="Heading3"/>
        <w:ind w:left="-5"/>
      </w:pPr>
      <w:r>
        <w:t>Materijalna imovina</w:t>
      </w:r>
    </w:p>
    <w:p w14:paraId="5A449DA1" w14:textId="77777777" w:rsidR="00962746" w:rsidRDefault="00694537">
      <w:pPr>
        <w:pStyle w:val="Heading4"/>
        <w:ind w:left="-5"/>
      </w:pPr>
      <w:r>
        <w:t>Bilješka br. 3</w:t>
      </w:r>
    </w:p>
    <w:p w14:paraId="09C4BB28" w14:textId="262C733D" w:rsidR="00BA4DD7" w:rsidRDefault="00694537" w:rsidP="00FD6A3F">
      <w:pPr>
        <w:spacing w:after="8"/>
        <w:ind w:left="-5"/>
      </w:pPr>
      <w:r>
        <w:t>Knjigovodstvena vrijednost materijalne imovine na dan sastavljanja financijskih izvještaja iznosila je 5.381,46 EUR.</w:t>
      </w:r>
    </w:p>
    <w:p w14:paraId="46DCE41C" w14:textId="77777777" w:rsidR="00FD6A3F" w:rsidRDefault="00FD6A3F" w:rsidP="00FD6A3F">
      <w:pPr>
        <w:spacing w:after="8"/>
        <w:ind w:left="-5"/>
      </w:pPr>
    </w:p>
    <w:p w14:paraId="08236C0A" w14:textId="10BC5AD4" w:rsidR="00962746" w:rsidRDefault="00694537" w:rsidP="0095066E">
      <w:pPr>
        <w:pStyle w:val="Heading3"/>
        <w:spacing w:after="309"/>
        <w:ind w:left="0" w:right="5124" w:firstLine="0"/>
      </w:pPr>
      <w:r>
        <w:t xml:space="preserve">Dugotrajna financijska imovina </w:t>
      </w:r>
      <w:r>
        <w:rPr>
          <w:i/>
          <w:color w:val="808080"/>
          <w:sz w:val="20"/>
          <w:u w:val="single" w:color="808080"/>
        </w:rPr>
        <w:t>Bilješka br. 4</w:t>
      </w:r>
    </w:p>
    <w:p w14:paraId="4DC38E00" w14:textId="2A942781" w:rsidR="00FD6A3F" w:rsidRDefault="00694537" w:rsidP="0095066E">
      <w:pPr>
        <w:ind w:left="-5"/>
      </w:pPr>
      <w:r>
        <w:t>Društvo na dan izvještavanja nije imalo dugotrajnu financijsku imovinu.</w:t>
      </w:r>
    </w:p>
    <w:p w14:paraId="6BC7FC9B" w14:textId="77777777" w:rsidR="00962746" w:rsidRDefault="00694537">
      <w:pPr>
        <w:pStyle w:val="Heading2"/>
        <w:spacing w:after="0" w:line="259" w:lineRule="auto"/>
        <w:ind w:left="-5"/>
        <w:jc w:val="left"/>
      </w:pPr>
      <w:r>
        <w:rPr>
          <w:i/>
        </w:rPr>
        <w:t>KRATKOTRAJNA IMOVINA</w:t>
      </w:r>
    </w:p>
    <w:p w14:paraId="7232C4C9" w14:textId="77777777" w:rsidR="00962746" w:rsidRDefault="00694537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6</w:t>
      </w:r>
    </w:p>
    <w:p w14:paraId="20B4443D" w14:textId="77777777" w:rsidR="00962746" w:rsidRDefault="00694537">
      <w:pPr>
        <w:ind w:left="-5"/>
      </w:pPr>
      <w:r>
        <w:t>Kratkotrajna imovina društva sastoji se od imovine koja je naplativa unutar roka od godinu dana, a sastoji se od zaliha, potraživanja, kratkotrajne financijske imovine i novca u banci i blagajni.</w:t>
      </w:r>
    </w:p>
    <w:p w14:paraId="3EAA9D52" w14:textId="77777777" w:rsidR="00962746" w:rsidRDefault="00694537">
      <w:pPr>
        <w:ind w:left="-5"/>
      </w:pPr>
      <w:r>
        <w:t>Kratkotrajna imovina na dan izvještavanja iznosila je 6.720,92 EUR.</w:t>
      </w:r>
    </w:p>
    <w:p w14:paraId="11E56EDC" w14:textId="77777777" w:rsidR="00962746" w:rsidRDefault="00694537">
      <w:pPr>
        <w:pStyle w:val="Heading3"/>
        <w:spacing w:after="309"/>
        <w:ind w:left="-5" w:right="5755"/>
      </w:pPr>
      <w:r>
        <w:t xml:space="preserve">Kratkoročna potraživanja </w:t>
      </w:r>
      <w:r>
        <w:rPr>
          <w:i/>
          <w:color w:val="808080"/>
          <w:sz w:val="20"/>
          <w:u w:val="single" w:color="808080"/>
        </w:rPr>
        <w:t>Bilješka br. 8</w:t>
      </w:r>
    </w:p>
    <w:p w14:paraId="42BF3F9E" w14:textId="77777777" w:rsidR="00962746" w:rsidRDefault="00694537">
      <w:pPr>
        <w:ind w:left="-5"/>
      </w:pPr>
      <w:r>
        <w:t>Kratkoročna potraživanja na dan izvještavanja iznosila su 2.084,93 EUR.</w:t>
      </w:r>
    </w:p>
    <w:p w14:paraId="3DF858A1" w14:textId="77777777" w:rsidR="00962746" w:rsidRDefault="00694537">
      <w:pPr>
        <w:pStyle w:val="Heading3"/>
        <w:ind w:left="-5"/>
      </w:pPr>
      <w:r>
        <w:t>Kratkoročna potraživanja za isporučenu robu i usluge</w:t>
      </w:r>
    </w:p>
    <w:p w14:paraId="7B6CF638" w14:textId="77777777" w:rsidR="00962746" w:rsidRDefault="00694537">
      <w:pPr>
        <w:pStyle w:val="Heading4"/>
        <w:ind w:left="-5"/>
      </w:pPr>
      <w:r>
        <w:t>Bilješka br. 8a</w:t>
      </w:r>
    </w:p>
    <w:p w14:paraId="0440574C" w14:textId="77777777" w:rsidR="00962746" w:rsidRDefault="00694537">
      <w:pPr>
        <w:spacing w:after="8"/>
        <w:ind w:left="-5"/>
      </w:pPr>
      <w:r>
        <w:t>Kratkoročna potraživanja za isporučenu robu i usluge na dan izvještavanja iznosila su ukupno 1.965,52 EUR.</w:t>
      </w:r>
    </w:p>
    <w:p w14:paraId="5EE8FBFE" w14:textId="77777777" w:rsidR="00FD6A3F" w:rsidRDefault="00FD6A3F">
      <w:pPr>
        <w:spacing w:after="8"/>
        <w:ind w:left="-5"/>
      </w:pPr>
    </w:p>
    <w:p w14:paraId="10F94DA3" w14:textId="77777777" w:rsidR="00962746" w:rsidRDefault="00694537">
      <w:pPr>
        <w:pStyle w:val="Heading3"/>
        <w:ind w:left="-5"/>
      </w:pPr>
      <w:r>
        <w:t>Kratkoročna potraživanja od države i drugih institucija</w:t>
      </w:r>
    </w:p>
    <w:p w14:paraId="47242E4C" w14:textId="77777777" w:rsidR="00962746" w:rsidRDefault="00694537">
      <w:pPr>
        <w:pStyle w:val="Heading4"/>
        <w:ind w:left="-5"/>
      </w:pPr>
      <w:r>
        <w:t>Bilješka br. 8c</w:t>
      </w:r>
    </w:p>
    <w:p w14:paraId="5210E968" w14:textId="77777777" w:rsidR="00962746" w:rsidRDefault="00694537">
      <w:pPr>
        <w:ind w:left="-5"/>
      </w:pPr>
      <w:r>
        <w:t>Kratkoročna potraživanja od države i drugih institucija odnose se na potraživanja za porez na dobit, potraživanja za PDV, potraživanja za više plaćene članarine i slična potraživanja.</w:t>
      </w:r>
    </w:p>
    <w:p w14:paraId="6DD725C7" w14:textId="77777777" w:rsidR="00962746" w:rsidRDefault="00694537">
      <w:pPr>
        <w:ind w:left="-5"/>
      </w:pPr>
      <w:r>
        <w:t>Društvo je na dan izvještavanja imalo kratkoročna potraživanja od države i drugih institucija u iznosu 119,41 EUR.</w:t>
      </w:r>
    </w:p>
    <w:p w14:paraId="1BF27C20" w14:textId="77777777" w:rsidR="00962746" w:rsidRDefault="00694537">
      <w:pPr>
        <w:pStyle w:val="Heading3"/>
        <w:ind w:left="-5"/>
      </w:pPr>
      <w:r>
        <w:lastRenderedPageBreak/>
        <w:t>Novac u banci i blagajni</w:t>
      </w:r>
    </w:p>
    <w:p w14:paraId="4090899A" w14:textId="77777777" w:rsidR="00962746" w:rsidRDefault="00694537">
      <w:pPr>
        <w:pStyle w:val="Heading4"/>
        <w:ind w:left="-5"/>
      </w:pPr>
      <w:r>
        <w:t>Bilješka br. 10</w:t>
      </w:r>
    </w:p>
    <w:p w14:paraId="03FBB8B5" w14:textId="77777777" w:rsidR="00962746" w:rsidRDefault="00694537">
      <w:pPr>
        <w:ind w:left="-5"/>
      </w:pPr>
      <w:r>
        <w:t>Na dan izvještavanja iznos novca u banci kojeg čine salda na eurskim i/ili deviznim računima te novac u blagajni iznosio je 4.635,99 EUR.</w:t>
      </w:r>
    </w:p>
    <w:p w14:paraId="6AE9B079" w14:textId="77777777" w:rsidR="00962746" w:rsidRDefault="00694537">
      <w:pPr>
        <w:pStyle w:val="Heading3"/>
        <w:ind w:left="-5"/>
      </w:pPr>
      <w:r>
        <w:t>Plaćeni troškovi budućeg razdoblja i obračunati prihodi</w:t>
      </w:r>
    </w:p>
    <w:p w14:paraId="2223FF0E" w14:textId="77777777" w:rsidR="00962746" w:rsidRDefault="00694537">
      <w:pPr>
        <w:pStyle w:val="Heading4"/>
        <w:ind w:left="-5"/>
      </w:pPr>
      <w:r>
        <w:t>Bilješka br. 11</w:t>
      </w:r>
    </w:p>
    <w:p w14:paraId="59FC818B" w14:textId="77777777" w:rsidR="00962746" w:rsidRDefault="00694537">
      <w:pPr>
        <w:spacing w:after="550"/>
        <w:ind w:left="-5"/>
      </w:pPr>
      <w:r>
        <w:t>Na dan izvještavanja plaćeni troškovi budućeg razdoblja i obračunati prihodi iznosili su 11,92 EUR.</w:t>
      </w:r>
    </w:p>
    <w:p w14:paraId="470299F2" w14:textId="77777777" w:rsidR="00962746" w:rsidRDefault="00694537">
      <w:pPr>
        <w:pStyle w:val="Heading2"/>
        <w:spacing w:after="0" w:line="259" w:lineRule="auto"/>
        <w:ind w:left="-5"/>
        <w:jc w:val="left"/>
      </w:pPr>
      <w:r>
        <w:rPr>
          <w:i/>
        </w:rPr>
        <w:t>PASIVA</w:t>
      </w:r>
    </w:p>
    <w:p w14:paraId="49D8BAB2" w14:textId="77777777" w:rsidR="00962746" w:rsidRDefault="00694537">
      <w:pPr>
        <w:pStyle w:val="Heading3"/>
        <w:ind w:left="-5"/>
      </w:pPr>
      <w:r>
        <w:t>Kapital i rezerve</w:t>
      </w:r>
    </w:p>
    <w:p w14:paraId="1A7F1A14" w14:textId="77777777" w:rsidR="00962746" w:rsidRDefault="00694537">
      <w:pPr>
        <w:pStyle w:val="Heading4"/>
        <w:ind w:left="-5"/>
      </w:pPr>
      <w:r>
        <w:t>Bilješka br. 12</w:t>
      </w:r>
    </w:p>
    <w:p w14:paraId="51BBB6DD" w14:textId="77777777" w:rsidR="00962746" w:rsidRDefault="00694537">
      <w:pPr>
        <w:ind w:left="-5"/>
      </w:pPr>
      <w:r>
        <w:t>Na dan izvještavanja kapital Društva iznosio je 33.564,14 EUR.</w:t>
      </w:r>
    </w:p>
    <w:p w14:paraId="00DD3DFF" w14:textId="77777777" w:rsidR="00962746" w:rsidRDefault="00694537">
      <w:pPr>
        <w:pStyle w:val="Heading3"/>
        <w:spacing w:after="309"/>
        <w:ind w:left="-5" w:right="4541"/>
      </w:pPr>
      <w:r>
        <w:t xml:space="preserve">Zadržana dobit ili preneseni gubitak </w:t>
      </w:r>
      <w:r>
        <w:rPr>
          <w:i/>
          <w:color w:val="808080"/>
          <w:sz w:val="20"/>
          <w:u w:val="single" w:color="808080"/>
        </w:rPr>
        <w:t>Bilješka br. 18</w:t>
      </w:r>
    </w:p>
    <w:p w14:paraId="42A01FB3" w14:textId="77777777" w:rsidR="00962746" w:rsidRDefault="00694537">
      <w:pPr>
        <w:ind w:left="-5"/>
      </w:pPr>
      <w:r>
        <w:t>Stanje zadržane dobiti na dan izvještavanja kao rezultat prijašnjeg poslovanja društva iznosilo je 27.391,50 EUR.</w:t>
      </w:r>
    </w:p>
    <w:p w14:paraId="13ECFB7C" w14:textId="77777777" w:rsidR="00962746" w:rsidRDefault="00694537">
      <w:pPr>
        <w:pStyle w:val="Heading3"/>
        <w:spacing w:after="309"/>
        <w:ind w:left="-5" w:right="4930"/>
      </w:pPr>
      <w:r>
        <w:t xml:space="preserve">Dobit ili gubitak poslovne godine </w:t>
      </w:r>
      <w:r>
        <w:rPr>
          <w:i/>
          <w:color w:val="808080"/>
          <w:sz w:val="20"/>
          <w:u w:val="single" w:color="808080"/>
        </w:rPr>
        <w:t>Bilješka br. 19</w:t>
      </w:r>
    </w:p>
    <w:p w14:paraId="057880BE" w14:textId="77777777" w:rsidR="00962746" w:rsidRDefault="00694537">
      <w:pPr>
        <w:spacing w:after="310"/>
        <w:ind w:left="-5"/>
      </w:pPr>
      <w:r>
        <w:t xml:space="preserve">Društvo je u poslovnoj godini ostvarilo neto dobit u iznosu 6.172,64 EUR. Predloženu raspodjelu dobiti Društvo je donijelo Odlukom o raspodjeli dobiti koja je dio javne objave godišnjih financijskih izvještaja za promatranu poslovnu godinu te je javno dostupna. </w:t>
      </w:r>
      <w:r>
        <w:rPr>
          <w:b/>
        </w:rPr>
        <w:t xml:space="preserve">Manjinski (nekontrolirajući) interes </w:t>
      </w:r>
      <w:r>
        <w:rPr>
          <w:b/>
          <w:i/>
          <w:color w:val="808080"/>
          <w:sz w:val="20"/>
          <w:u w:val="single" w:color="808080"/>
        </w:rPr>
        <w:t>Bilješka br. 20</w:t>
      </w:r>
    </w:p>
    <w:p w14:paraId="09ED6168" w14:textId="77777777" w:rsidR="00962746" w:rsidRDefault="00694537">
      <w:pPr>
        <w:pStyle w:val="Heading3"/>
        <w:ind w:left="-5"/>
      </w:pPr>
      <w:r>
        <w:t>Dugoročne obveze</w:t>
      </w:r>
    </w:p>
    <w:p w14:paraId="72BE94A4" w14:textId="77777777" w:rsidR="00962746" w:rsidRDefault="00694537">
      <w:pPr>
        <w:pStyle w:val="Heading4"/>
        <w:ind w:left="-5"/>
      </w:pPr>
      <w:r>
        <w:t>Bilješka br. 22</w:t>
      </w:r>
    </w:p>
    <w:p w14:paraId="14594AD2" w14:textId="77777777" w:rsidR="00962746" w:rsidRDefault="00694537">
      <w:pPr>
        <w:ind w:left="-5"/>
      </w:pPr>
      <w:r>
        <w:t>Dugoročne obveze odnose se na obveze s rokom dospijeća dužim od godinu dana.</w:t>
      </w:r>
    </w:p>
    <w:p w14:paraId="40981BDA" w14:textId="77777777" w:rsidR="00962746" w:rsidRDefault="00694537">
      <w:pPr>
        <w:spacing w:after="780"/>
        <w:ind w:left="-5"/>
      </w:pPr>
      <w:r>
        <w:t>Društvo je na dan izvještavanja imalo dugoročne obveze u visini od 6.155,02 EUR.</w:t>
      </w:r>
    </w:p>
    <w:p w14:paraId="782BC806" w14:textId="77777777" w:rsidR="00962746" w:rsidRDefault="00694537">
      <w:pPr>
        <w:pStyle w:val="Heading3"/>
        <w:ind w:left="-5"/>
      </w:pPr>
      <w:r>
        <w:t>Dugoročne obveze prema bankama i drugim financijskim institucijama</w:t>
      </w:r>
    </w:p>
    <w:p w14:paraId="42A58EAF" w14:textId="77777777" w:rsidR="00962746" w:rsidRDefault="00694537">
      <w:pPr>
        <w:pStyle w:val="Heading4"/>
        <w:ind w:left="-5"/>
      </w:pPr>
      <w:r>
        <w:t>Bilješka br. 22c</w:t>
      </w:r>
    </w:p>
    <w:p w14:paraId="645F96D4" w14:textId="77777777" w:rsidR="00962746" w:rsidRDefault="00694537">
      <w:pPr>
        <w:ind w:left="-5"/>
      </w:pPr>
      <w:r>
        <w:t>Dugoročne obveze prema bankama i drugim financijskim institucijama na dan izvještavanja iznosile su ukupno 6.155,02 EUR.</w:t>
      </w:r>
    </w:p>
    <w:p w14:paraId="65F6C683" w14:textId="77777777" w:rsidR="00962746" w:rsidRDefault="00694537">
      <w:pPr>
        <w:pStyle w:val="Heading3"/>
        <w:ind w:left="-5"/>
      </w:pPr>
      <w:r>
        <w:lastRenderedPageBreak/>
        <w:t>Kratkoročne obveze</w:t>
      </w:r>
    </w:p>
    <w:p w14:paraId="472A6E99" w14:textId="77777777" w:rsidR="00962746" w:rsidRDefault="00694537">
      <w:pPr>
        <w:pStyle w:val="Heading4"/>
        <w:ind w:left="-5"/>
      </w:pPr>
      <w:r>
        <w:t>Bilješka br. 23</w:t>
      </w:r>
    </w:p>
    <w:p w14:paraId="41E1C9B6" w14:textId="77777777" w:rsidR="00962746" w:rsidRDefault="00694537">
      <w:pPr>
        <w:ind w:left="-5"/>
      </w:pPr>
      <w:r>
        <w:t>Kratkoročne obveze odnose se na obveze s rokom dospijeća kraćim od godinu dana.</w:t>
      </w:r>
    </w:p>
    <w:p w14:paraId="0E0414B3" w14:textId="77777777" w:rsidR="00962746" w:rsidRDefault="00694537" w:rsidP="0095066E">
      <w:pPr>
        <w:spacing w:after="0"/>
        <w:ind w:left="-5"/>
      </w:pPr>
      <w:r>
        <w:t>Društvo je na dan izvještavanja imalo kratkoročne obveze u visini od 6.539,18 EUR.</w:t>
      </w:r>
    </w:p>
    <w:p w14:paraId="37F43F5D" w14:textId="77777777" w:rsidR="0095066E" w:rsidRDefault="0095066E" w:rsidP="0095066E">
      <w:pPr>
        <w:spacing w:after="0"/>
        <w:ind w:left="-5"/>
      </w:pPr>
    </w:p>
    <w:p w14:paraId="4D9AD8BD" w14:textId="77777777" w:rsidR="00962746" w:rsidRDefault="00694537" w:rsidP="0095066E">
      <w:pPr>
        <w:pStyle w:val="Heading3"/>
        <w:ind w:left="0" w:firstLine="0"/>
      </w:pPr>
      <w:r>
        <w:t>Kratkoročne obveze za primljenu robu i usluge</w:t>
      </w:r>
    </w:p>
    <w:p w14:paraId="4879AFF7" w14:textId="77777777" w:rsidR="00962746" w:rsidRDefault="00694537">
      <w:pPr>
        <w:pStyle w:val="Heading4"/>
        <w:spacing w:after="255"/>
        <w:ind w:left="-5"/>
      </w:pPr>
      <w:r>
        <w:t>Bilješka br. 23a</w:t>
      </w:r>
    </w:p>
    <w:p w14:paraId="7F606062" w14:textId="77777777" w:rsidR="00962746" w:rsidRDefault="00694537">
      <w:pPr>
        <w:ind w:left="-5"/>
      </w:pPr>
      <w:r>
        <w:t>Ukupne kratkoročne obveze za primljenu robu i usluge iznosile su 990,19 EUR.</w:t>
      </w:r>
    </w:p>
    <w:p w14:paraId="59837662" w14:textId="77777777" w:rsidR="00962746" w:rsidRDefault="00694537">
      <w:pPr>
        <w:pStyle w:val="Heading3"/>
        <w:ind w:left="-5"/>
      </w:pPr>
      <w:r>
        <w:t>Kratkoročne obveze prema zaposlenicima</w:t>
      </w:r>
    </w:p>
    <w:p w14:paraId="23618603" w14:textId="77777777" w:rsidR="00962746" w:rsidRDefault="00694537">
      <w:pPr>
        <w:pStyle w:val="Heading4"/>
        <w:ind w:left="-5"/>
      </w:pPr>
      <w:r>
        <w:t>Bilješka br. 23f</w:t>
      </w:r>
    </w:p>
    <w:p w14:paraId="6F5EF6F5" w14:textId="77777777" w:rsidR="00962746" w:rsidRDefault="00694537">
      <w:pPr>
        <w:ind w:left="-5"/>
      </w:pPr>
      <w:r>
        <w:t>Kratkoročne obveze prema zaposlenicima odnose se na obračunate, a neisplaćene neto plaće, naknade i slične obveze.</w:t>
      </w:r>
    </w:p>
    <w:p w14:paraId="2934F4FD" w14:textId="77777777" w:rsidR="00962746" w:rsidRDefault="00694537">
      <w:pPr>
        <w:ind w:left="-5"/>
      </w:pPr>
      <w:r>
        <w:t>Kratkoročne obveze prema zaposlenicima na dan izvještavanja iznosile su ukupno 3.601,26 EUR.</w:t>
      </w:r>
    </w:p>
    <w:p w14:paraId="6FA75B9C" w14:textId="77777777" w:rsidR="00962746" w:rsidRDefault="00694537">
      <w:pPr>
        <w:pStyle w:val="Heading3"/>
        <w:ind w:left="-5"/>
      </w:pPr>
      <w:r>
        <w:t>Kratkoročne obveze za poreze, doprinose i slična davanja</w:t>
      </w:r>
    </w:p>
    <w:p w14:paraId="02725760" w14:textId="77777777" w:rsidR="00962746" w:rsidRDefault="00694537">
      <w:pPr>
        <w:pStyle w:val="Heading4"/>
        <w:ind w:left="-5"/>
      </w:pPr>
      <w:r>
        <w:t>Bilješka br. 23g</w:t>
      </w:r>
    </w:p>
    <w:p w14:paraId="778EC055" w14:textId="77777777" w:rsidR="00962746" w:rsidRDefault="00694537">
      <w:pPr>
        <w:ind w:left="-5"/>
      </w:pPr>
      <w:r>
        <w:t>Kratkoročne obveze za poreze, doprinose i slična davanja odnose se na obračunate, a neplaćene obveze.</w:t>
      </w:r>
    </w:p>
    <w:p w14:paraId="3A758181" w14:textId="77777777" w:rsidR="00962746" w:rsidRDefault="00694537">
      <w:pPr>
        <w:ind w:left="-5"/>
      </w:pPr>
      <w:r>
        <w:t>Kratkoročne obveze za poreze, doprinose i slična davanja na dan izvještavanja iznosile su ukupno 1.596,69 EUR.</w:t>
      </w:r>
    </w:p>
    <w:p w14:paraId="6BD479B5" w14:textId="77777777" w:rsidR="00962746" w:rsidRDefault="00694537">
      <w:pPr>
        <w:pStyle w:val="Heading3"/>
        <w:ind w:left="-5"/>
      </w:pPr>
      <w:r>
        <w:t>Ostale kratkoročne obaveze</w:t>
      </w:r>
    </w:p>
    <w:p w14:paraId="514E0D3D" w14:textId="77777777" w:rsidR="00962746" w:rsidRDefault="00694537">
      <w:pPr>
        <w:spacing w:after="301" w:line="259" w:lineRule="auto"/>
        <w:ind w:left="-5"/>
        <w:jc w:val="left"/>
      </w:pPr>
      <w:r>
        <w:rPr>
          <w:b/>
          <w:i/>
          <w:color w:val="808080"/>
          <w:sz w:val="20"/>
          <w:u w:val="single" w:color="808080"/>
        </w:rPr>
        <w:t>Bilješka br. 23j</w:t>
      </w:r>
    </w:p>
    <w:p w14:paraId="3A5EB9FF" w14:textId="77777777" w:rsidR="00962746" w:rsidRDefault="00694537">
      <w:pPr>
        <w:spacing w:after="547"/>
        <w:ind w:left="-5"/>
      </w:pPr>
      <w:r>
        <w:t>Ostale kratkoročne obveze Društva na dan izvještavanja iznosile su 351,04 EUR.</w:t>
      </w:r>
    </w:p>
    <w:p w14:paraId="2200ED6D" w14:textId="530B32A9" w:rsidR="00962746" w:rsidRDefault="00FD6A3F">
      <w:pPr>
        <w:pStyle w:val="Heading1"/>
        <w:tabs>
          <w:tab w:val="center" w:pos="2354"/>
        </w:tabs>
        <w:ind w:left="-15" w:firstLine="0"/>
      </w:pPr>
      <w:r>
        <w:t>I</w:t>
      </w:r>
      <w:r w:rsidR="00694537">
        <w:t>V.</w:t>
      </w:r>
      <w:r w:rsidR="00694537">
        <w:tab/>
        <w:t>RAČUN DOBITI I GUBITKA</w:t>
      </w:r>
    </w:p>
    <w:p w14:paraId="18A13555" w14:textId="77777777" w:rsidR="00962746" w:rsidRDefault="00694537">
      <w:pPr>
        <w:pStyle w:val="Heading2"/>
        <w:ind w:left="-5"/>
      </w:pPr>
      <w:r>
        <w:t>Poslovni prihodi</w:t>
      </w:r>
    </w:p>
    <w:p w14:paraId="7B87C356" w14:textId="77777777" w:rsidR="00962746" w:rsidRDefault="00694537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25</w:t>
      </w:r>
    </w:p>
    <w:p w14:paraId="225DA2B2" w14:textId="77777777" w:rsidR="00962746" w:rsidRDefault="00694537">
      <w:pPr>
        <w:ind w:left="-5"/>
      </w:pPr>
      <w:r>
        <w:t>Poslovni prihodi sastoje se od prihoda od prodaje, prihoda na temelju uporabe vlastitih proizvoda i ostalih poslovnih prihoda.</w:t>
      </w:r>
    </w:p>
    <w:p w14:paraId="7D37423B" w14:textId="77777777" w:rsidR="00962746" w:rsidRDefault="00694537">
      <w:pPr>
        <w:spacing w:after="8"/>
        <w:ind w:left="-5"/>
      </w:pPr>
      <w:r>
        <w:t>Poslovni prihodi Društva u 2023. godini ukupno su iznosili 144.722,94 EUR.</w:t>
      </w:r>
    </w:p>
    <w:p w14:paraId="389744A2" w14:textId="77777777" w:rsidR="00FD6A3F" w:rsidRDefault="00FD6A3F">
      <w:pPr>
        <w:pStyle w:val="Heading2"/>
        <w:ind w:left="-5"/>
      </w:pPr>
    </w:p>
    <w:p w14:paraId="4A00E92C" w14:textId="38DAAFCE" w:rsidR="00962746" w:rsidRDefault="00694537">
      <w:pPr>
        <w:pStyle w:val="Heading2"/>
        <w:ind w:left="-5"/>
      </w:pPr>
      <w:r>
        <w:t>Prihodi od prodaje</w:t>
      </w:r>
    </w:p>
    <w:p w14:paraId="1FFE1687" w14:textId="77777777" w:rsidR="00962746" w:rsidRDefault="00694537">
      <w:pPr>
        <w:pStyle w:val="Heading3"/>
        <w:spacing w:after="255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25a</w:t>
      </w:r>
    </w:p>
    <w:p w14:paraId="71B2EED7" w14:textId="49849793" w:rsidR="00962746" w:rsidRDefault="00694537">
      <w:pPr>
        <w:ind w:left="-5"/>
      </w:pPr>
      <w:r>
        <w:t>Društvo je u poslovnoj godini 2023. ostvarilo prihode od prodaje u visini od 79.153,48 EUR</w:t>
      </w:r>
      <w:r w:rsidR="008C432A">
        <w:t xml:space="preserve"> što čine prihode od naknada roditelja.</w:t>
      </w:r>
    </w:p>
    <w:p w14:paraId="788197FA" w14:textId="2B181C30" w:rsidR="00962746" w:rsidRDefault="00962746">
      <w:pPr>
        <w:spacing w:after="8"/>
        <w:ind w:left="-5"/>
      </w:pPr>
    </w:p>
    <w:p w14:paraId="70E6BAED" w14:textId="77777777" w:rsidR="00962746" w:rsidRDefault="00694537">
      <w:pPr>
        <w:pStyle w:val="Heading2"/>
        <w:spacing w:after="263"/>
        <w:ind w:left="-5" w:right="6088"/>
      </w:pPr>
      <w:r>
        <w:t xml:space="preserve">Ostali poslovni prihodi </w:t>
      </w:r>
      <w:r>
        <w:rPr>
          <w:i/>
          <w:color w:val="808080"/>
          <w:sz w:val="20"/>
          <w:u w:val="single" w:color="808080"/>
        </w:rPr>
        <w:t>Bilješka br. 25c</w:t>
      </w:r>
    </w:p>
    <w:p w14:paraId="6DED8634" w14:textId="49401C00" w:rsidR="00962746" w:rsidRDefault="00694537">
      <w:pPr>
        <w:ind w:left="-5"/>
      </w:pPr>
      <w:r>
        <w:t>Društvo je u poslovnoj godini 2023. ostvarilo ostalih poslovnih prihoda u visini od 65.569,46 EUR</w:t>
      </w:r>
      <w:r w:rsidR="008C432A">
        <w:t xml:space="preserve"> u čemu su prihodi od subvencija grada Ivanić-Grada 61.618,85 €, a prihodi od Općine Dubrava čine 1.177,01 € te ostali prihodi.</w:t>
      </w:r>
    </w:p>
    <w:p w14:paraId="50B5CEFC" w14:textId="77777777" w:rsidR="00FD6A3F" w:rsidRDefault="00FD6A3F">
      <w:pPr>
        <w:pStyle w:val="Heading2"/>
        <w:ind w:left="-5"/>
      </w:pPr>
    </w:p>
    <w:p w14:paraId="74A667D5" w14:textId="1E30C9AE" w:rsidR="00962746" w:rsidRDefault="00694537">
      <w:pPr>
        <w:pStyle w:val="Heading2"/>
        <w:ind w:left="-5"/>
      </w:pPr>
      <w:r>
        <w:t>Poslovni rashodi</w:t>
      </w:r>
    </w:p>
    <w:p w14:paraId="2EEA53A9" w14:textId="77777777" w:rsidR="00962746" w:rsidRDefault="00694537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26</w:t>
      </w:r>
    </w:p>
    <w:p w14:paraId="632F6720" w14:textId="77777777" w:rsidR="00962746" w:rsidRDefault="00694537">
      <w:pPr>
        <w:spacing w:after="8"/>
        <w:ind w:left="-5"/>
      </w:pPr>
      <w:r>
        <w:t>Društvo je u 2023. godini iskazalo poslovne rashode u visini od 136.276,82 EUR.</w:t>
      </w:r>
    </w:p>
    <w:p w14:paraId="485C9D40" w14:textId="77777777" w:rsidR="00FD6A3F" w:rsidRDefault="00FD6A3F">
      <w:pPr>
        <w:pStyle w:val="Heading2"/>
        <w:ind w:left="-5"/>
      </w:pPr>
    </w:p>
    <w:p w14:paraId="088B2858" w14:textId="77777777" w:rsidR="00962746" w:rsidRDefault="00694537">
      <w:pPr>
        <w:pStyle w:val="Heading2"/>
        <w:ind w:left="-5"/>
      </w:pPr>
      <w:r>
        <w:t>Materijalni troškovi</w:t>
      </w:r>
    </w:p>
    <w:p w14:paraId="5D9763BA" w14:textId="77777777" w:rsidR="00962746" w:rsidRDefault="00694537">
      <w:pPr>
        <w:pStyle w:val="Heading3"/>
        <w:spacing w:after="255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26b</w:t>
      </w:r>
    </w:p>
    <w:p w14:paraId="595DCE14" w14:textId="69A46386" w:rsidR="00FD6A3F" w:rsidRDefault="00694537" w:rsidP="0095066E">
      <w:pPr>
        <w:spacing w:after="8"/>
        <w:ind w:left="-5"/>
      </w:pPr>
      <w:r>
        <w:t>Tijekom poslovne godine materijalni troškovi iznosili su 48.177,40 EUR.</w:t>
      </w:r>
    </w:p>
    <w:p w14:paraId="060CAB8F" w14:textId="77777777" w:rsidR="0095066E" w:rsidRDefault="0095066E" w:rsidP="0095066E">
      <w:pPr>
        <w:spacing w:after="8"/>
        <w:ind w:left="-5"/>
      </w:pPr>
    </w:p>
    <w:p w14:paraId="5D387D98" w14:textId="77777777" w:rsidR="00962746" w:rsidRDefault="00694537">
      <w:pPr>
        <w:ind w:left="-5"/>
      </w:pPr>
      <w:r>
        <w:t>Troškovi sirovina i materijala ukupno su iznosili 22.628,79 EUR.</w:t>
      </w:r>
    </w:p>
    <w:p w14:paraId="7946EAF6" w14:textId="77777777" w:rsidR="00962746" w:rsidRDefault="00694537">
      <w:pPr>
        <w:spacing w:after="547"/>
        <w:ind w:left="-5"/>
      </w:pPr>
      <w:r>
        <w:t>Ostali vanjski troškovi su iznosili 25.548,61 EUR.</w:t>
      </w:r>
    </w:p>
    <w:p w14:paraId="30B0E0FF" w14:textId="77777777" w:rsidR="00962746" w:rsidRDefault="00694537">
      <w:pPr>
        <w:pStyle w:val="Heading2"/>
        <w:ind w:left="-5" w:right="6788"/>
      </w:pPr>
      <w:r>
        <w:t xml:space="preserve">Troškovi osoblja </w:t>
      </w:r>
      <w:r>
        <w:rPr>
          <w:i/>
          <w:color w:val="808080"/>
          <w:sz w:val="20"/>
          <w:u w:val="single" w:color="808080"/>
        </w:rPr>
        <w:t>Bilješka br. 26c</w:t>
      </w:r>
    </w:p>
    <w:p w14:paraId="0CB45368" w14:textId="77777777" w:rsidR="00962746" w:rsidRDefault="00694537">
      <w:pPr>
        <w:ind w:left="-5"/>
      </w:pPr>
      <w:r>
        <w:t>Troškovi osoblja se odnose na troškove neto plaća i nadnica, troškova poreza i doprinosa iz plaća i troškova doprinosa na plaće.</w:t>
      </w:r>
    </w:p>
    <w:p w14:paraId="7CF07C2B" w14:textId="77777777" w:rsidR="00962746" w:rsidRDefault="00694537">
      <w:pPr>
        <w:spacing w:after="8"/>
        <w:ind w:left="-5"/>
      </w:pPr>
      <w:r>
        <w:t>U 2023. godini troškovi osoblja iznosili su 69.243,88 EUR.</w:t>
      </w:r>
    </w:p>
    <w:p w14:paraId="69A871C1" w14:textId="77777777" w:rsidR="00FD6A3F" w:rsidRDefault="00FD6A3F">
      <w:pPr>
        <w:pStyle w:val="Heading2"/>
        <w:ind w:left="-5"/>
      </w:pPr>
    </w:p>
    <w:p w14:paraId="0E890D87" w14:textId="7EB7BBB1" w:rsidR="00962746" w:rsidRDefault="00694537">
      <w:pPr>
        <w:pStyle w:val="Heading2"/>
        <w:ind w:left="-5"/>
      </w:pPr>
      <w:r>
        <w:t>Amortizacija</w:t>
      </w:r>
    </w:p>
    <w:p w14:paraId="3AD8A01A" w14:textId="77777777" w:rsidR="00962746" w:rsidRDefault="00694537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26d</w:t>
      </w:r>
    </w:p>
    <w:p w14:paraId="2382D7CB" w14:textId="77777777" w:rsidR="00962746" w:rsidRDefault="00694537">
      <w:pPr>
        <w:ind w:left="-5"/>
      </w:pPr>
      <w:r>
        <w:t>Amortizacija je rađena u skladu s računovodstvenim politikama Društva i odlukama uprave Društva.</w:t>
      </w:r>
    </w:p>
    <w:p w14:paraId="6D9D521F" w14:textId="77777777" w:rsidR="00962746" w:rsidRDefault="00694537">
      <w:pPr>
        <w:ind w:left="-5"/>
      </w:pPr>
      <w:r>
        <w:t>U poslovnoj godini trošak amortizacije iznosio je 9.473,05 EUR.</w:t>
      </w:r>
    </w:p>
    <w:p w14:paraId="47646520" w14:textId="77777777" w:rsidR="00962746" w:rsidRDefault="00694537">
      <w:pPr>
        <w:pStyle w:val="Heading2"/>
        <w:ind w:left="-5"/>
      </w:pPr>
      <w:r>
        <w:t>Ostali troškovi</w:t>
      </w:r>
    </w:p>
    <w:p w14:paraId="71884BD2" w14:textId="77777777" w:rsidR="00962746" w:rsidRDefault="00694537">
      <w:pPr>
        <w:pStyle w:val="Heading3"/>
        <w:spacing w:after="255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26e</w:t>
      </w:r>
    </w:p>
    <w:p w14:paraId="4C708ED5" w14:textId="77777777" w:rsidR="00962746" w:rsidRDefault="00694537">
      <w:pPr>
        <w:ind w:left="-5"/>
      </w:pPr>
      <w:r>
        <w:t>Društvo je u poslovnoj godini imalo ukupno 8.271,26 EUR ostalih troškova.</w:t>
      </w:r>
    </w:p>
    <w:p w14:paraId="5297F5D8" w14:textId="77777777" w:rsidR="00962746" w:rsidRDefault="00694537">
      <w:pPr>
        <w:spacing w:after="309"/>
        <w:ind w:left="-5" w:right="6076"/>
      </w:pPr>
      <w:r>
        <w:rPr>
          <w:b/>
        </w:rPr>
        <w:t xml:space="preserve">Ostali poslovni rashodi </w:t>
      </w:r>
      <w:r>
        <w:rPr>
          <w:b/>
          <w:i/>
          <w:color w:val="808080"/>
          <w:sz w:val="20"/>
          <w:u w:val="single" w:color="808080"/>
        </w:rPr>
        <w:t>Bilješka br. 26h</w:t>
      </w:r>
    </w:p>
    <w:p w14:paraId="2ABF4A2B" w14:textId="77777777" w:rsidR="00962746" w:rsidRDefault="00694537">
      <w:pPr>
        <w:ind w:left="-5"/>
      </w:pPr>
      <w:r>
        <w:t>Društvo je u poslovnoj godini imalo ostale poslovne rashode u iznosu 1.111,23 EUR.</w:t>
      </w:r>
    </w:p>
    <w:p w14:paraId="078D2047" w14:textId="77777777" w:rsidR="00962746" w:rsidRDefault="00694537">
      <w:pPr>
        <w:pStyle w:val="Heading2"/>
        <w:ind w:left="-5"/>
      </w:pPr>
      <w:r>
        <w:lastRenderedPageBreak/>
        <w:t>Financijski prihodi</w:t>
      </w:r>
    </w:p>
    <w:p w14:paraId="4C1BF04D" w14:textId="77777777" w:rsidR="00962746" w:rsidRDefault="00694537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27</w:t>
      </w:r>
    </w:p>
    <w:p w14:paraId="033E2B39" w14:textId="77777777" w:rsidR="00962746" w:rsidRDefault="00694537">
      <w:pPr>
        <w:spacing w:after="222"/>
        <w:ind w:left="-5"/>
      </w:pPr>
      <w:r>
        <w:t>Društvo je u 2023. godini ostvarilo financijske prihode u iznosu 0,01 EUR.</w:t>
      </w:r>
    </w:p>
    <w:p w14:paraId="1E57B3B8" w14:textId="77777777" w:rsidR="00962746" w:rsidRDefault="00694537">
      <w:pPr>
        <w:pStyle w:val="Heading2"/>
        <w:spacing w:after="263"/>
        <w:ind w:left="-5"/>
      </w:pPr>
      <w:r>
        <w:t xml:space="preserve">Prihodi od ostalih dugotrajnih financijskih ulaganja i zajmova, ostali prihodi od kamata i tečajne razlike </w:t>
      </w:r>
      <w:r>
        <w:rPr>
          <w:i/>
          <w:color w:val="808080"/>
          <w:sz w:val="20"/>
          <w:u w:val="single" w:color="808080"/>
        </w:rPr>
        <w:t>Bilješka br. 27a</w:t>
      </w:r>
    </w:p>
    <w:p w14:paraId="25965496" w14:textId="77777777" w:rsidR="00962746" w:rsidRDefault="00694537">
      <w:pPr>
        <w:ind w:left="-5"/>
      </w:pPr>
      <w:r>
        <w:t>Financijski prihodi koji su ostvareni iz poslovnog odnosa s poduzetnicima koji nisu unutar grupe te financijskih institucija, a koji se sastoje od prihoda od dugotrajnih financijskih ulaganja i zajmova, ostalih financijskih prihoda od kamata, tečajnih razlika i ostalih financijskih prihoda iznosili su 0,01 EUR.</w:t>
      </w:r>
    </w:p>
    <w:p w14:paraId="594C79D6" w14:textId="77777777" w:rsidR="00962746" w:rsidRDefault="00694537">
      <w:pPr>
        <w:pStyle w:val="Heading2"/>
        <w:ind w:left="-5"/>
      </w:pPr>
      <w:r>
        <w:t>Financijski rashodi</w:t>
      </w:r>
    </w:p>
    <w:p w14:paraId="7FECF7D4" w14:textId="779588C6" w:rsidR="00962746" w:rsidRDefault="00694537" w:rsidP="0095066E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28</w:t>
      </w:r>
    </w:p>
    <w:p w14:paraId="40EC8F0E" w14:textId="77777777" w:rsidR="00962746" w:rsidRDefault="00694537">
      <w:pPr>
        <w:spacing w:after="8"/>
        <w:ind w:left="-5"/>
      </w:pPr>
      <w:r>
        <w:t>Društvo je u 2023. godini imalo financijskih rashoda u iznosu 1.585,42 EUR.</w:t>
      </w:r>
    </w:p>
    <w:p w14:paraId="116008B9" w14:textId="77777777" w:rsidR="0095066E" w:rsidRDefault="0095066E">
      <w:pPr>
        <w:spacing w:after="8"/>
        <w:ind w:left="-5"/>
      </w:pPr>
    </w:p>
    <w:p w14:paraId="4A2E8E15" w14:textId="77777777" w:rsidR="00962746" w:rsidRDefault="00694537">
      <w:pPr>
        <w:pStyle w:val="Heading2"/>
        <w:ind w:left="-5"/>
      </w:pPr>
      <w:r>
        <w:t>Financijski rashodi s osnove kamata i sličnih rashoda, tečajnih razlika i drugih rashoda s društvima koji nisu unutar grupe</w:t>
      </w:r>
    </w:p>
    <w:p w14:paraId="770DA62D" w14:textId="77777777" w:rsidR="00962746" w:rsidRDefault="00694537">
      <w:pPr>
        <w:pStyle w:val="Heading3"/>
        <w:spacing w:after="301" w:line="259" w:lineRule="auto"/>
        <w:ind w:left="-5"/>
        <w:jc w:val="left"/>
      </w:pPr>
      <w:r>
        <w:rPr>
          <w:i/>
          <w:color w:val="808080"/>
          <w:sz w:val="20"/>
          <w:u w:val="single" w:color="808080"/>
        </w:rPr>
        <w:t>Bilješka br. 28b</w:t>
      </w:r>
    </w:p>
    <w:p w14:paraId="20C46558" w14:textId="38DE2E5A" w:rsidR="00FD6A3F" w:rsidRDefault="00694537" w:rsidP="00FD6A3F">
      <w:pPr>
        <w:ind w:left="-5"/>
      </w:pPr>
      <w:r>
        <w:t>Financijski rashodi koji su ostvareni iz poslovnog odnosa s poduzetnicima koji nisu unutar grupe ili iz odnosa s financijskim institucijama, a koji se sastoje od rashoda kamata, tečajnih razlika i ostalih financijskih rashoda iznosili su 1.585,42 EUR.</w:t>
      </w:r>
    </w:p>
    <w:p w14:paraId="1BE73DB3" w14:textId="77777777" w:rsidR="00962746" w:rsidRDefault="00694537">
      <w:pPr>
        <w:pStyle w:val="Heading2"/>
        <w:spacing w:after="0" w:line="259" w:lineRule="auto"/>
        <w:ind w:left="-5"/>
        <w:jc w:val="left"/>
      </w:pPr>
      <w:r>
        <w:rPr>
          <w:i/>
        </w:rPr>
        <w:t>UKUPNI PRIHODI</w:t>
      </w:r>
    </w:p>
    <w:p w14:paraId="1136CD41" w14:textId="77777777" w:rsidR="00962746" w:rsidRDefault="00694537">
      <w:pPr>
        <w:spacing w:after="301" w:line="259" w:lineRule="auto"/>
        <w:ind w:left="-5"/>
        <w:jc w:val="left"/>
      </w:pPr>
      <w:r>
        <w:rPr>
          <w:b/>
          <w:i/>
          <w:color w:val="808080"/>
          <w:sz w:val="20"/>
          <w:u w:val="single" w:color="808080"/>
        </w:rPr>
        <w:t>Bilješka br. 29</w:t>
      </w:r>
    </w:p>
    <w:p w14:paraId="7E6CE630" w14:textId="77777777" w:rsidR="00962746" w:rsidRDefault="00694537" w:rsidP="00FD6A3F">
      <w:pPr>
        <w:spacing w:after="0"/>
        <w:ind w:left="-5"/>
      </w:pPr>
      <w:r>
        <w:t>Društvo je u poslovnoj godini 2023. ostvarilo ukupne prihode u visini od 144.722,95 EUR.</w:t>
      </w:r>
    </w:p>
    <w:p w14:paraId="34B1B190" w14:textId="77777777" w:rsidR="00FD6A3F" w:rsidRDefault="00FD6A3F" w:rsidP="00FD6A3F">
      <w:pPr>
        <w:spacing w:after="0"/>
        <w:ind w:left="-5"/>
      </w:pPr>
    </w:p>
    <w:p w14:paraId="027A040E" w14:textId="1DFA4B6E" w:rsidR="00FD6A3F" w:rsidRPr="00FD6A3F" w:rsidRDefault="00694537" w:rsidP="00FD6A3F">
      <w:pPr>
        <w:pStyle w:val="Heading2"/>
        <w:spacing w:after="0" w:line="259" w:lineRule="auto"/>
        <w:ind w:left="-5"/>
        <w:jc w:val="left"/>
        <w:rPr>
          <w:i/>
        </w:rPr>
      </w:pPr>
      <w:r>
        <w:rPr>
          <w:i/>
        </w:rPr>
        <w:t>UKUPNI RASHODI</w:t>
      </w:r>
    </w:p>
    <w:p w14:paraId="3606D1C5" w14:textId="77777777" w:rsidR="00962746" w:rsidRDefault="00694537">
      <w:pPr>
        <w:spacing w:after="301" w:line="259" w:lineRule="auto"/>
        <w:ind w:left="-5"/>
        <w:jc w:val="left"/>
      </w:pPr>
      <w:r>
        <w:rPr>
          <w:b/>
          <w:i/>
          <w:color w:val="808080"/>
          <w:sz w:val="20"/>
          <w:u w:val="single" w:color="808080"/>
        </w:rPr>
        <w:t>Bilješka br. 30</w:t>
      </w:r>
    </w:p>
    <w:p w14:paraId="3EAA3B3F" w14:textId="77777777" w:rsidR="00962746" w:rsidRDefault="00694537" w:rsidP="00FD6A3F">
      <w:pPr>
        <w:spacing w:after="0"/>
        <w:ind w:left="-5"/>
      </w:pPr>
      <w:r>
        <w:t>Društvo je u poslovnoj godini 2023. imalo ukupnih rashoda u iznosu od 137.862,24 EUR.</w:t>
      </w:r>
    </w:p>
    <w:p w14:paraId="626583C5" w14:textId="77777777" w:rsidR="00FD6A3F" w:rsidRDefault="00FD6A3F" w:rsidP="0095066E">
      <w:pPr>
        <w:pStyle w:val="Heading1"/>
        <w:ind w:left="0" w:firstLine="0"/>
      </w:pPr>
    </w:p>
    <w:p w14:paraId="0AB8A96E" w14:textId="67621576" w:rsidR="00962746" w:rsidRDefault="00694537">
      <w:pPr>
        <w:pStyle w:val="Heading1"/>
        <w:ind w:left="-5"/>
      </w:pPr>
      <w:r>
        <w:t>V.</w:t>
      </w:r>
      <w:r>
        <w:tab/>
        <w:t>PRIHVAĆANJE I OBJAVA FINANCIJSKIH IZVJEŠTAJA OD STRANE UPRAVE DRUŠTVA</w:t>
      </w:r>
    </w:p>
    <w:p w14:paraId="69488560" w14:textId="77777777" w:rsidR="00962746" w:rsidRDefault="00694537">
      <w:pPr>
        <w:pStyle w:val="Heading2"/>
        <w:spacing w:after="268"/>
        <w:ind w:left="-5"/>
      </w:pPr>
      <w:r>
        <w:t>Objava financijskih izvještaja</w:t>
      </w:r>
    </w:p>
    <w:p w14:paraId="1E31985B" w14:textId="77777777" w:rsidR="00962746" w:rsidRDefault="00694537">
      <w:pPr>
        <w:spacing w:after="550"/>
        <w:ind w:left="-5"/>
      </w:pPr>
      <w:r>
        <w:t>Uprava društva, na temelju odluke Skupštine o utvrđivanju godišnjih financijskih izvještaja za poslovnu godinu 2023., svojom ovjerom odobrava njihovu objavu.</w:t>
      </w:r>
    </w:p>
    <w:p w14:paraId="6FAEA4C9" w14:textId="77777777" w:rsidR="00962746" w:rsidRDefault="00694537">
      <w:pPr>
        <w:tabs>
          <w:tab w:val="center" w:pos="6823"/>
        </w:tabs>
        <w:spacing w:after="8"/>
        <w:ind w:left="0" w:firstLine="0"/>
        <w:jc w:val="left"/>
      </w:pPr>
      <w:r>
        <w:t>Osoba odgovorna za sastavljanje bilješki:</w:t>
      </w:r>
      <w:r>
        <w:tab/>
        <w:t>Direktor:</w:t>
      </w:r>
    </w:p>
    <w:p w14:paraId="19F4A909" w14:textId="77777777" w:rsidR="00962746" w:rsidRDefault="00694537">
      <w:pPr>
        <w:tabs>
          <w:tab w:val="center" w:pos="7534"/>
        </w:tabs>
        <w:ind w:left="0" w:firstLine="0"/>
        <w:jc w:val="left"/>
      </w:pPr>
      <w:r>
        <w:t>GORDANA BELAK</w:t>
      </w:r>
      <w:r>
        <w:tab/>
        <w:t>MAJA RODIĆ ŠKONDRO</w:t>
      </w:r>
    </w:p>
    <w:sectPr w:rsidR="00962746">
      <w:footerReference w:type="even" r:id="rId6"/>
      <w:footerReference w:type="default" r:id="rId7"/>
      <w:footerReference w:type="first" r:id="rId8"/>
      <w:pgSz w:w="11906" w:h="16838"/>
      <w:pgMar w:top="1134" w:right="1134" w:bottom="1171" w:left="1418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7517F" w14:textId="77777777" w:rsidR="009928A9" w:rsidRDefault="009928A9">
      <w:pPr>
        <w:spacing w:after="0" w:line="240" w:lineRule="auto"/>
      </w:pPr>
      <w:r>
        <w:separator/>
      </w:r>
    </w:p>
  </w:endnote>
  <w:endnote w:type="continuationSeparator" w:id="0">
    <w:p w14:paraId="0B522C76" w14:textId="77777777" w:rsidR="009928A9" w:rsidRDefault="00992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924DF" w14:textId="77777777" w:rsidR="00962746" w:rsidRDefault="00694537">
    <w:pPr>
      <w:spacing w:after="0" w:line="259" w:lineRule="auto"/>
      <w:ind w:left="0" w:right="1" w:firstLine="0"/>
      <w:jc w:val="right"/>
    </w:pPr>
    <w:r>
      <w:rPr>
        <w:i/>
        <w:color w:val="BFBFBF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color w:val="BFBFBF"/>
        <w:sz w:val="20"/>
      </w:rPr>
      <w:t>10</w:t>
    </w:r>
    <w:r>
      <w:rPr>
        <w:i/>
        <w:color w:val="BFBFBF"/>
        <w:sz w:val="20"/>
      </w:rPr>
      <w:fldChar w:fldCharType="end"/>
    </w:r>
    <w:r>
      <w:rPr>
        <w:i/>
        <w:color w:val="BFBFBF"/>
        <w:sz w:val="20"/>
      </w:rPr>
      <w:t xml:space="preserve"> / </w:t>
    </w:r>
    <w:fldSimple w:instr=" NUMPAGES   \* MERGEFORMAT ">
      <w:r>
        <w:rPr>
          <w:i/>
          <w:color w:val="BFBFBF"/>
          <w:sz w:val="20"/>
        </w:rPr>
        <w:t>21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4F257" w14:textId="77777777" w:rsidR="00962746" w:rsidRDefault="00694537">
    <w:pPr>
      <w:spacing w:after="0" w:line="259" w:lineRule="auto"/>
      <w:ind w:left="0" w:right="1" w:firstLine="0"/>
      <w:jc w:val="right"/>
    </w:pPr>
    <w:r>
      <w:rPr>
        <w:i/>
        <w:color w:val="BFBFBF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color w:val="BFBFBF"/>
        <w:sz w:val="20"/>
      </w:rPr>
      <w:t>10</w:t>
    </w:r>
    <w:r>
      <w:rPr>
        <w:i/>
        <w:color w:val="BFBFBF"/>
        <w:sz w:val="20"/>
      </w:rPr>
      <w:fldChar w:fldCharType="end"/>
    </w:r>
    <w:r>
      <w:rPr>
        <w:i/>
        <w:color w:val="BFBFBF"/>
        <w:sz w:val="20"/>
      </w:rPr>
      <w:t xml:space="preserve"> / </w:t>
    </w:r>
    <w:fldSimple w:instr=" NUMPAGES   \* MERGEFORMAT ">
      <w:r>
        <w:rPr>
          <w:i/>
          <w:color w:val="BFBFBF"/>
          <w:sz w:val="20"/>
        </w:rPr>
        <w:t>21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6EDFE" w14:textId="77777777" w:rsidR="00962746" w:rsidRDefault="00694537">
    <w:pPr>
      <w:spacing w:after="0" w:line="259" w:lineRule="auto"/>
      <w:ind w:left="0" w:right="1" w:firstLine="0"/>
      <w:jc w:val="right"/>
    </w:pPr>
    <w:r>
      <w:rPr>
        <w:i/>
        <w:color w:val="BFBFBF"/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color w:val="BFBFBF"/>
        <w:sz w:val="20"/>
      </w:rPr>
      <w:t>10</w:t>
    </w:r>
    <w:r>
      <w:rPr>
        <w:i/>
        <w:color w:val="BFBFBF"/>
        <w:sz w:val="20"/>
      </w:rPr>
      <w:fldChar w:fldCharType="end"/>
    </w:r>
    <w:r>
      <w:rPr>
        <w:i/>
        <w:color w:val="BFBFBF"/>
        <w:sz w:val="20"/>
      </w:rPr>
      <w:t xml:space="preserve"> / </w:t>
    </w:r>
    <w:fldSimple w:instr=" NUMPAGES   \* MERGEFORMAT ">
      <w:r>
        <w:rPr>
          <w:i/>
          <w:color w:val="BFBFBF"/>
          <w:sz w:val="20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114C2" w14:textId="77777777" w:rsidR="009928A9" w:rsidRDefault="009928A9">
      <w:pPr>
        <w:spacing w:after="0" w:line="240" w:lineRule="auto"/>
      </w:pPr>
      <w:r>
        <w:separator/>
      </w:r>
    </w:p>
  </w:footnote>
  <w:footnote w:type="continuationSeparator" w:id="0">
    <w:p w14:paraId="117E7BDD" w14:textId="77777777" w:rsidR="009928A9" w:rsidRDefault="00992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746"/>
    <w:rsid w:val="000D3025"/>
    <w:rsid w:val="005A7EA2"/>
    <w:rsid w:val="00694537"/>
    <w:rsid w:val="00777114"/>
    <w:rsid w:val="008C432A"/>
    <w:rsid w:val="0095066E"/>
    <w:rsid w:val="00962746"/>
    <w:rsid w:val="009928A9"/>
    <w:rsid w:val="009F74F9"/>
    <w:rsid w:val="00BA4DD7"/>
    <w:rsid w:val="00D37A6F"/>
    <w:rsid w:val="00D47A1C"/>
    <w:rsid w:val="00D67824"/>
    <w:rsid w:val="00E36AC0"/>
    <w:rsid w:val="00E42418"/>
    <w:rsid w:val="00FD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EB8B"/>
  <w15:docId w15:val="{0FF89C3E-5B40-48F5-ADD4-2F1CF6DE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68" w:line="251" w:lineRule="auto"/>
      <w:ind w:left="10" w:hanging="10"/>
      <w:jc w:val="both"/>
    </w:pPr>
    <w:rPr>
      <w:rFonts w:ascii="Trebuchet MS" w:eastAsia="Trebuchet MS" w:hAnsi="Trebuchet MS" w:cs="Trebuchet MS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28" w:line="251" w:lineRule="auto"/>
      <w:ind w:left="10" w:hanging="10"/>
      <w:outlineLvl w:val="0"/>
    </w:pPr>
    <w:rPr>
      <w:rFonts w:ascii="Trebuchet MS" w:eastAsia="Trebuchet MS" w:hAnsi="Trebuchet MS" w:cs="Trebuchet MS"/>
      <w:b/>
      <w:i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" w:line="251" w:lineRule="auto"/>
      <w:ind w:left="10" w:hanging="10"/>
      <w:jc w:val="both"/>
      <w:outlineLvl w:val="1"/>
    </w:pPr>
    <w:rPr>
      <w:rFonts w:ascii="Trebuchet MS" w:eastAsia="Trebuchet MS" w:hAnsi="Trebuchet MS" w:cs="Trebuchet MS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4" w:line="251" w:lineRule="auto"/>
      <w:ind w:left="10" w:hanging="10"/>
      <w:jc w:val="both"/>
      <w:outlineLvl w:val="2"/>
    </w:pPr>
    <w:rPr>
      <w:rFonts w:ascii="Trebuchet MS" w:eastAsia="Trebuchet MS" w:hAnsi="Trebuchet MS" w:cs="Trebuchet MS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301"/>
      <w:ind w:left="10" w:hanging="10"/>
      <w:outlineLvl w:val="3"/>
    </w:pPr>
    <w:rPr>
      <w:rFonts w:ascii="Trebuchet MS" w:eastAsia="Trebuchet MS" w:hAnsi="Trebuchet MS" w:cs="Trebuchet MS"/>
      <w:b/>
      <w:i/>
      <w:color w:val="808080"/>
      <w:sz w:val="20"/>
      <w:u w:val="single" w:color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rebuchet MS" w:eastAsia="Trebuchet MS" w:hAnsi="Trebuchet MS" w:cs="Trebuchet MS"/>
      <w:b/>
      <w:i/>
      <w:color w:val="000000"/>
      <w:sz w:val="28"/>
    </w:rPr>
  </w:style>
  <w:style w:type="character" w:customStyle="1" w:styleId="Heading4Char">
    <w:name w:val="Heading 4 Char"/>
    <w:link w:val="Heading4"/>
    <w:rPr>
      <w:rFonts w:ascii="Trebuchet MS" w:eastAsia="Trebuchet MS" w:hAnsi="Trebuchet MS" w:cs="Trebuchet MS"/>
      <w:b/>
      <w:i/>
      <w:color w:val="808080"/>
      <w:sz w:val="20"/>
      <w:u w:val="single" w:color="808080"/>
    </w:rPr>
  </w:style>
  <w:style w:type="character" w:customStyle="1" w:styleId="Heading2Char">
    <w:name w:val="Heading 2 Char"/>
    <w:link w:val="Heading2"/>
    <w:rPr>
      <w:rFonts w:ascii="Trebuchet MS" w:eastAsia="Trebuchet MS" w:hAnsi="Trebuchet MS" w:cs="Trebuchet MS"/>
      <w:b/>
      <w:color w:val="000000"/>
      <w:sz w:val="24"/>
    </w:rPr>
  </w:style>
  <w:style w:type="character" w:customStyle="1" w:styleId="Heading3Char">
    <w:name w:val="Heading 3 Char"/>
    <w:link w:val="Heading3"/>
    <w:rPr>
      <w:rFonts w:ascii="Trebuchet MS" w:eastAsia="Trebuchet MS" w:hAnsi="Trebuchet MS" w:cs="Trebuchet MS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Zoran</dc:creator>
  <cp:keywords/>
  <cp:lastModifiedBy>Korisnik User</cp:lastModifiedBy>
  <cp:revision>2</cp:revision>
  <dcterms:created xsi:type="dcterms:W3CDTF">2024-07-12T07:21:00Z</dcterms:created>
  <dcterms:modified xsi:type="dcterms:W3CDTF">2024-07-12T07:21:00Z</dcterms:modified>
</cp:coreProperties>
</file>