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C4789" w:rsidTr="007C47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9" w:rsidRDefault="007C4789">
            <w:pPr>
              <w:pStyle w:val="Bezproreda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  <w:t>PREDMET:</w:t>
            </w:r>
          </w:p>
          <w:p w:rsidR="007C4789" w:rsidRDefault="007C4789">
            <w:pPr>
              <w:pStyle w:val="Bezproreda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9" w:rsidRDefault="007C4789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 xml:space="preserve">Prijedlog Odluke o </w:t>
            </w:r>
            <w:r>
              <w:rPr>
                <w:rFonts w:ascii="Arial" w:hAnsi="Arial" w:cs="Arial"/>
                <w:sz w:val="24"/>
                <w:szCs w:val="24"/>
              </w:rPr>
              <w:t>gradskim porezima Ivanić Grada</w:t>
            </w:r>
          </w:p>
        </w:tc>
      </w:tr>
      <w:tr w:rsidR="007C4789" w:rsidTr="007C47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9" w:rsidRDefault="007C4789">
            <w:pPr>
              <w:pStyle w:val="Bezproreda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  <w:t>PRAVNI TEMELJ:</w:t>
            </w:r>
          </w:p>
          <w:p w:rsidR="007C4789" w:rsidRDefault="007C4789">
            <w:pPr>
              <w:pStyle w:val="Bezproreda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9" w:rsidRDefault="007C4789">
            <w:pPr>
              <w:pStyle w:val="Bezproreda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</w:rPr>
              <w:t>Temeljem članka 20.</w:t>
            </w:r>
            <w:r>
              <w:rPr>
                <w:rFonts w:ascii="Arial" w:hAnsi="Arial" w:cs="Arial"/>
                <w:sz w:val="24"/>
                <w:szCs w:val="24"/>
              </w:rPr>
              <w:t xml:space="preserve"> Zakona o lokalnim porezima (</w:t>
            </w:r>
            <w:r>
              <w:rPr>
                <w:rFonts w:ascii="Arial" w:hAnsi="Arial" w:cs="Arial"/>
                <w:sz w:val="24"/>
                <w:szCs w:val="24"/>
              </w:rPr>
              <w:t>Narodne novine 115/16)  i članka 35. Statuta Grada Ivanić-Grada (Službeni glasnik, broj 02/14)</w:t>
            </w:r>
          </w:p>
        </w:tc>
      </w:tr>
      <w:tr w:rsidR="007C4789" w:rsidTr="007C47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9" w:rsidRDefault="007C4789">
            <w:pPr>
              <w:pStyle w:val="Bezproreda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  <w:t>STRUČNA OBRADA:</w:t>
            </w:r>
          </w:p>
          <w:p w:rsidR="007C4789" w:rsidRDefault="007C4789">
            <w:pPr>
              <w:pStyle w:val="Bezproreda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9" w:rsidRDefault="007C4789">
            <w:pPr>
              <w:pStyle w:val="Bezproreda"/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 xml:space="preserve">Upravni odjel za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  <w:lang w:eastAsia="hr-HR"/>
              </w:rPr>
              <w:t xml:space="preserve"> lokalnu samoupravu, pravne  poslove i društvene djelatnosti</w:t>
            </w:r>
          </w:p>
        </w:tc>
      </w:tr>
      <w:tr w:rsidR="007C4789" w:rsidTr="007C47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9" w:rsidRDefault="007C4789" w:rsidP="007C4789">
            <w:pPr>
              <w:pStyle w:val="Bezproreda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  <w:t>NADLEŽNOST ZA DONOŠENJE: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9" w:rsidRDefault="007C4789">
            <w:pPr>
              <w:pStyle w:val="Bezproreda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Gradsko vijeće Grada Ivanić-Grada</w:t>
            </w:r>
          </w:p>
        </w:tc>
      </w:tr>
    </w:tbl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</w:p>
    <w:p w:rsidR="007C4789" w:rsidRDefault="007C4789" w:rsidP="007C4789">
      <w:pPr>
        <w:pStyle w:val="Bezproreda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  <w:lang w:eastAsia="hr-HR"/>
        </w:rPr>
        <w:t>OBRAZLOŽENJE:</w:t>
      </w: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Odredbom članka</w:t>
      </w:r>
      <w:r>
        <w:rPr>
          <w:rFonts w:ascii="Arial" w:hAnsi="Arial" w:cs="Arial"/>
          <w:sz w:val="24"/>
          <w:szCs w:val="24"/>
        </w:rPr>
        <w:t xml:space="preserve"> 20. Zakona o lokalnim porezima</w:t>
      </w:r>
      <w:r>
        <w:rPr>
          <w:rFonts w:ascii="Arial" w:hAnsi="Arial" w:cs="Arial"/>
          <w:sz w:val="24"/>
          <w:szCs w:val="24"/>
        </w:rPr>
        <w:t xml:space="preserve"> (Narodne novine 115/16), propisano je da jedinice</w:t>
      </w:r>
      <w:r>
        <w:rPr>
          <w:rFonts w:ascii="Arial" w:hAnsi="Arial" w:cs="Arial"/>
          <w:sz w:val="24"/>
          <w:szCs w:val="24"/>
        </w:rPr>
        <w:t xml:space="preserve"> lokalne samouprave mogu uvesti</w:t>
      </w:r>
      <w:r>
        <w:rPr>
          <w:rFonts w:ascii="Arial" w:hAnsi="Arial" w:cs="Arial"/>
          <w:sz w:val="24"/>
          <w:szCs w:val="24"/>
        </w:rPr>
        <w:t xml:space="preserve"> prirez porezu na dohodak, porez na potrošnju, porez na kuće za odmor i porez na korištenje javnih površina.</w:t>
      </w: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Jedinice lokalne samouprave</w:t>
      </w:r>
      <w:r>
        <w:rPr>
          <w:rFonts w:ascii="Arial" w:hAnsi="Arial" w:cs="Arial"/>
          <w:sz w:val="24"/>
          <w:szCs w:val="24"/>
        </w:rPr>
        <w:t xml:space="preserve"> dužne su uvesti i naplaćivati porez na nekretnine.</w:t>
      </w: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Odlukom se pro</w:t>
      </w:r>
      <w:r>
        <w:rPr>
          <w:rFonts w:ascii="Arial" w:hAnsi="Arial" w:cs="Arial"/>
          <w:sz w:val="24"/>
          <w:szCs w:val="24"/>
        </w:rPr>
        <w:t>pisuje prirez porezu na dohodak</w:t>
      </w:r>
      <w:r>
        <w:rPr>
          <w:rFonts w:ascii="Arial" w:hAnsi="Arial" w:cs="Arial"/>
          <w:sz w:val="24"/>
          <w:szCs w:val="24"/>
        </w:rPr>
        <w:t xml:space="preserve"> po stopi od 6 %, a osnovica prireza porezu na dohodak je porez na dohodak utvrđen sukladno Zakonu o porezu na dohodak i Pravilniku o porezu na dohodak.</w:t>
      </w: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Porez na potrošnju plaća se na potr</w:t>
      </w:r>
      <w:r>
        <w:rPr>
          <w:rFonts w:ascii="Arial" w:hAnsi="Arial" w:cs="Arial"/>
          <w:sz w:val="24"/>
          <w:szCs w:val="24"/>
        </w:rPr>
        <w:t xml:space="preserve">ošnju alkoholnih  pića  plaća (vinjak, rakiju i </w:t>
      </w:r>
      <w:r>
        <w:rPr>
          <w:rFonts w:ascii="Arial" w:hAnsi="Arial" w:cs="Arial"/>
          <w:sz w:val="24"/>
          <w:szCs w:val="24"/>
        </w:rPr>
        <w:t>žestoka pića), prirodnih vina, specijalnih vina</w:t>
      </w:r>
      <w:r>
        <w:rPr>
          <w:rFonts w:ascii="Arial" w:hAnsi="Arial" w:cs="Arial"/>
          <w:sz w:val="24"/>
          <w:szCs w:val="24"/>
        </w:rPr>
        <w:t xml:space="preserve"> i bezalkoholnih pića, a plaća </w:t>
      </w:r>
      <w:r>
        <w:rPr>
          <w:rFonts w:ascii="Arial" w:hAnsi="Arial" w:cs="Arial"/>
          <w:sz w:val="24"/>
          <w:szCs w:val="24"/>
        </w:rPr>
        <w:t>se po stopi od  3 %.</w:t>
      </w: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Porez na kuće za odmor plaćaju pravne i fizičke osobe ko</w:t>
      </w:r>
      <w:r>
        <w:rPr>
          <w:rFonts w:ascii="Arial" w:hAnsi="Arial" w:cs="Arial"/>
          <w:sz w:val="24"/>
          <w:szCs w:val="24"/>
        </w:rPr>
        <w:t>je su vlasnici kuća za odmor, a</w:t>
      </w:r>
      <w:r>
        <w:rPr>
          <w:rFonts w:ascii="Arial" w:hAnsi="Arial" w:cs="Arial"/>
          <w:sz w:val="24"/>
          <w:szCs w:val="24"/>
        </w:rPr>
        <w:t xml:space="preserve"> plaća se u visini 12,00</w:t>
      </w:r>
      <w:r>
        <w:rPr>
          <w:rFonts w:ascii="Arial" w:hAnsi="Arial" w:cs="Arial"/>
          <w:sz w:val="24"/>
          <w:szCs w:val="24"/>
        </w:rPr>
        <w:t xml:space="preserve"> kn godišnje po četvornom metru</w:t>
      </w:r>
      <w:r>
        <w:rPr>
          <w:rFonts w:ascii="Arial" w:hAnsi="Arial" w:cs="Arial"/>
          <w:sz w:val="24"/>
          <w:szCs w:val="24"/>
        </w:rPr>
        <w:t xml:space="preserve"> korisne površine kuće za odmor.</w:t>
      </w: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Odredbe čl.7-11. ove Odluke o</w:t>
      </w:r>
      <w:r>
        <w:rPr>
          <w:rFonts w:ascii="Arial" w:hAnsi="Arial" w:cs="Arial"/>
          <w:sz w:val="24"/>
          <w:szCs w:val="24"/>
        </w:rPr>
        <w:t xml:space="preserve"> naplati poreza na</w:t>
      </w:r>
      <w:r>
        <w:rPr>
          <w:rFonts w:ascii="Arial" w:hAnsi="Arial" w:cs="Arial"/>
          <w:sz w:val="24"/>
          <w:szCs w:val="24"/>
        </w:rPr>
        <w:t xml:space="preserve"> kuće za odmor prestaju važiti </w:t>
      </w: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siječnja </w:t>
      </w:r>
      <w:r>
        <w:rPr>
          <w:rFonts w:ascii="Arial" w:hAnsi="Arial" w:cs="Arial"/>
          <w:sz w:val="24"/>
          <w:szCs w:val="24"/>
        </w:rPr>
        <w:t>2018.</w:t>
      </w:r>
      <w:r>
        <w:rPr>
          <w:rFonts w:ascii="Arial" w:hAnsi="Arial" w:cs="Arial"/>
          <w:sz w:val="24"/>
          <w:szCs w:val="24"/>
        </w:rPr>
        <w:t xml:space="preserve"> godine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kada se uvodi jednostavni porez na nekretnine koji će zamijeniti i  porez na kuće za odmor. </w:t>
      </w: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Porez na korištenje javnih </w:t>
      </w:r>
      <w:r>
        <w:rPr>
          <w:rFonts w:ascii="Arial" w:hAnsi="Arial" w:cs="Arial"/>
          <w:sz w:val="24"/>
          <w:szCs w:val="24"/>
        </w:rPr>
        <w:t>površina plaća fizička i pravna osoba</w:t>
      </w:r>
      <w:r>
        <w:rPr>
          <w:rFonts w:ascii="Arial" w:hAnsi="Arial" w:cs="Arial"/>
          <w:sz w:val="24"/>
          <w:szCs w:val="24"/>
        </w:rPr>
        <w:t xml:space="preserve"> koja koristi javne površine  na području Grada Ivanić Grada.</w:t>
      </w:r>
      <w:r>
        <w:rPr>
          <w:rFonts w:ascii="Arial" w:hAnsi="Arial" w:cs="Arial"/>
          <w:sz w:val="24"/>
          <w:szCs w:val="24"/>
        </w:rPr>
        <w:t xml:space="preserve"> Porez</w:t>
      </w:r>
      <w:r>
        <w:rPr>
          <w:rFonts w:ascii="Arial" w:hAnsi="Arial" w:cs="Arial"/>
          <w:sz w:val="24"/>
          <w:szCs w:val="24"/>
        </w:rPr>
        <w:t xml:space="preserve"> na korištenje javnih površin</w:t>
      </w:r>
      <w:r>
        <w:rPr>
          <w:rFonts w:ascii="Arial" w:hAnsi="Arial" w:cs="Arial"/>
          <w:sz w:val="24"/>
          <w:szCs w:val="24"/>
        </w:rPr>
        <w:t>a plaća se prema zonama u gradu kao i prema namjeni</w:t>
      </w:r>
      <w:r>
        <w:rPr>
          <w:rFonts w:ascii="Arial" w:hAnsi="Arial" w:cs="Arial"/>
          <w:sz w:val="24"/>
          <w:szCs w:val="24"/>
        </w:rPr>
        <w:t xml:space="preserve"> korištenja javne površine.</w:t>
      </w: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Poslovi utvrđivanja, evidentiranja, nadzora, naplate i ovrhe radi naplate svih gradskih poreza iz članka 2. ove Odluke prenose se na Ministarstvo financija – Poreznu upravu, Ispostavu Ivanić Grad, u skladu s odredbama Zakona i Suglasnosti Ministarstva financija.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Poreznoj upravi za obavljanje poslova iz stavka 1. ovog članka pripada naknada u iznosu 5% od ukupno naplaćenih prihoda.</w:t>
      </w: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Predlaže se Gradskom vijeću Grada Ivanić-Grada da usvoji ovu Odluku.</w:t>
      </w: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C4789" w:rsidRDefault="007C4789" w:rsidP="007C478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3036F" w:rsidRDefault="0073036F"/>
    <w:sectPr w:rsidR="0073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EC"/>
    <w:rsid w:val="0073036F"/>
    <w:rsid w:val="007C4789"/>
    <w:rsid w:val="00E8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8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478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8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47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1842</Characters>
  <Application>Microsoft Office Word</Application>
  <DocSecurity>0</DocSecurity>
  <Lines>15</Lines>
  <Paragraphs>4</Paragraphs>
  <ScaleCrop>false</ScaleCrop>
  <Company>Home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Samac</dc:creator>
  <cp:keywords/>
  <dc:description/>
  <cp:lastModifiedBy>Jelena Samac</cp:lastModifiedBy>
  <cp:revision>2</cp:revision>
  <dcterms:created xsi:type="dcterms:W3CDTF">2017-03-15T07:12:00Z</dcterms:created>
  <dcterms:modified xsi:type="dcterms:W3CDTF">2017-03-15T07:18:00Z</dcterms:modified>
</cp:coreProperties>
</file>