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9131" w14:textId="6D6663ED" w:rsidR="006679EF" w:rsidRPr="006679EF" w:rsidRDefault="006679EF" w:rsidP="006679EF">
      <w:pPr>
        <w:autoSpaceDE w:val="0"/>
        <w:autoSpaceDN w:val="0"/>
        <w:adjustRightInd w:val="0"/>
        <w:jc w:val="right"/>
        <w:rPr>
          <w:rFonts w:ascii="Arial" w:eastAsia="Calibri" w:hAnsi="Arial" w:cs="Arial"/>
          <w:color w:val="000000"/>
        </w:rPr>
      </w:pPr>
      <w:r w:rsidRPr="006679EF">
        <w:rPr>
          <w:rFonts w:ascii="Arial" w:eastAsia="Calibri" w:hAnsi="Arial" w:cs="Arial"/>
          <w:color w:val="000000"/>
        </w:rPr>
        <w:t>-</w:t>
      </w:r>
      <w:r>
        <w:rPr>
          <w:rFonts w:ascii="Arial" w:eastAsia="Calibri" w:hAnsi="Arial" w:cs="Arial"/>
          <w:color w:val="000000"/>
        </w:rPr>
        <w:t xml:space="preserve"> P R I J E D L O G -</w:t>
      </w:r>
    </w:p>
    <w:p w14:paraId="48B9BAE0" w14:textId="1CBBB021" w:rsidR="006679EF" w:rsidRDefault="006679EF" w:rsidP="006679EF">
      <w:pPr>
        <w:autoSpaceDE w:val="0"/>
        <w:autoSpaceDN w:val="0"/>
        <w:adjustRightInd w:val="0"/>
        <w:jc w:val="both"/>
        <w:rPr>
          <w:rFonts w:ascii="Arial" w:eastAsia="Calibri" w:hAnsi="Arial" w:cs="Arial"/>
          <w:color w:val="000000"/>
        </w:rPr>
      </w:pPr>
      <w:r>
        <w:rPr>
          <w:rFonts w:ascii="Arial" w:eastAsia="Calibri" w:hAnsi="Arial" w:cs="Arial"/>
          <w:color w:val="000000"/>
        </w:rPr>
        <w:t xml:space="preserve">Na temelju članka 90.a Zakona o lokalnoj i područnoj (regionalnoj) samoupravi (Narodne novine, broj </w:t>
      </w:r>
      <w:r w:rsidRPr="001D29CA">
        <w:rPr>
          <w:rFonts w:ascii="Arial" w:eastAsia="Calibri" w:hAnsi="Arial" w:cs="Arial"/>
          <w:color w:val="000000"/>
        </w:rPr>
        <w:t>33/01, 60/01, 129/05, 109/07, 125/08, 36/09</w:t>
      </w:r>
      <w:r>
        <w:rPr>
          <w:rFonts w:ascii="Arial" w:eastAsia="Calibri" w:hAnsi="Arial" w:cs="Arial"/>
          <w:color w:val="000000"/>
        </w:rPr>
        <w:t xml:space="preserve">, </w:t>
      </w:r>
      <w:r w:rsidRPr="001D29CA">
        <w:rPr>
          <w:rFonts w:ascii="Arial" w:eastAsia="Calibri" w:hAnsi="Arial" w:cs="Arial"/>
          <w:color w:val="000000"/>
        </w:rPr>
        <w:t>150/11, 144/12, 19/13, 137/15, 123/17, 98/19, 144/20</w:t>
      </w:r>
      <w:r>
        <w:rPr>
          <w:rFonts w:ascii="Arial" w:eastAsia="Calibri" w:hAnsi="Arial" w:cs="Arial"/>
          <w:color w:val="000000"/>
        </w:rPr>
        <w:t xml:space="preserve">), članka 3. Zakona o plaćama u lokalnoj i područnoj (regionalnoj) samoupravi (Narodne novine, broj 28/10, 10/23) i </w:t>
      </w:r>
      <w:r w:rsidRPr="00925B63">
        <w:rPr>
          <w:rFonts w:ascii="Arial" w:hAnsi="Arial" w:cs="Arial"/>
          <w:color w:val="000000"/>
        </w:rPr>
        <w:t>članka 35. Statuta Grada Ivanić-Grada (Službeni glasnik Grada Ivanić-Grada, broj 01/21, 04/22), Gradsko vijeće Grada Ivanić-Grada na svojoj __. sjednici održanoj dana ________</w:t>
      </w:r>
      <w:r>
        <w:rPr>
          <w:rFonts w:ascii="Arial" w:hAnsi="Arial" w:cs="Arial"/>
          <w:color w:val="000000"/>
        </w:rPr>
        <w:t xml:space="preserve"> </w:t>
      </w:r>
      <w:r w:rsidRPr="00925B63">
        <w:rPr>
          <w:rFonts w:ascii="Arial" w:hAnsi="Arial" w:cs="Arial"/>
          <w:color w:val="000000"/>
        </w:rPr>
        <w:t>202</w:t>
      </w:r>
      <w:r>
        <w:rPr>
          <w:rFonts w:ascii="Arial" w:hAnsi="Arial" w:cs="Arial"/>
          <w:color w:val="000000"/>
        </w:rPr>
        <w:t xml:space="preserve">3. </w:t>
      </w:r>
      <w:r w:rsidRPr="00925B63">
        <w:rPr>
          <w:rFonts w:ascii="Arial" w:hAnsi="Arial" w:cs="Arial"/>
          <w:color w:val="000000"/>
        </w:rPr>
        <w:t>godine donijel</w:t>
      </w:r>
      <w:r>
        <w:rPr>
          <w:rFonts w:ascii="Arial" w:hAnsi="Arial" w:cs="Arial"/>
          <w:color w:val="000000"/>
        </w:rPr>
        <w:t xml:space="preserve">o je sljedeću </w:t>
      </w:r>
      <w:r w:rsidRPr="00925B63">
        <w:rPr>
          <w:rFonts w:ascii="Arial" w:hAnsi="Arial" w:cs="Arial"/>
          <w:color w:val="000000"/>
        </w:rPr>
        <w:t xml:space="preserve"> </w:t>
      </w:r>
    </w:p>
    <w:p w14:paraId="184310D9" w14:textId="77777777" w:rsidR="006679EF" w:rsidRPr="005C7057" w:rsidRDefault="006679EF" w:rsidP="006679EF">
      <w:pPr>
        <w:autoSpaceDE w:val="0"/>
        <w:autoSpaceDN w:val="0"/>
        <w:adjustRightInd w:val="0"/>
        <w:jc w:val="both"/>
        <w:rPr>
          <w:rFonts w:ascii="Arial" w:eastAsia="Calibri" w:hAnsi="Arial" w:cs="Arial"/>
          <w:color w:val="000000"/>
        </w:rPr>
      </w:pPr>
    </w:p>
    <w:p w14:paraId="5FEA16C4" w14:textId="77777777" w:rsidR="006679EF" w:rsidRDefault="006679EF" w:rsidP="006679EF">
      <w:pPr>
        <w:autoSpaceDE w:val="0"/>
        <w:autoSpaceDN w:val="0"/>
        <w:adjustRightInd w:val="0"/>
        <w:jc w:val="center"/>
        <w:rPr>
          <w:rFonts w:ascii="Arial" w:hAnsi="Arial" w:cs="Arial"/>
          <w:b/>
          <w:bCs/>
          <w:color w:val="000000"/>
        </w:rPr>
      </w:pPr>
      <w:r>
        <w:rPr>
          <w:rFonts w:ascii="Arial" w:hAnsi="Arial" w:cs="Arial"/>
          <w:b/>
          <w:bCs/>
          <w:color w:val="000000"/>
        </w:rPr>
        <w:t>O D L U K U</w:t>
      </w:r>
    </w:p>
    <w:p w14:paraId="3278576A" w14:textId="77777777" w:rsidR="006679EF" w:rsidRPr="00925B63" w:rsidRDefault="006679EF" w:rsidP="006679EF">
      <w:pPr>
        <w:shd w:val="clear" w:color="auto" w:fill="FFFFFF"/>
        <w:tabs>
          <w:tab w:val="left" w:pos="426"/>
          <w:tab w:val="left" w:pos="8647"/>
        </w:tabs>
        <w:spacing w:line="276" w:lineRule="auto"/>
        <w:jc w:val="center"/>
        <w:rPr>
          <w:rFonts w:ascii="Arial" w:hAnsi="Arial" w:cs="Arial"/>
          <w:b/>
          <w:lang w:eastAsia="en-US"/>
        </w:rPr>
      </w:pPr>
      <w:r>
        <w:rPr>
          <w:rFonts w:ascii="Arial" w:hAnsi="Arial" w:cs="Arial"/>
          <w:b/>
          <w:lang w:eastAsia="en-US"/>
        </w:rPr>
        <w:t>o izmjenama Odluke o plaći i drugim pravima iz radnog odnosa gradonačelnika i zamjenika gradonačelnika Grada Ivanić-Grada</w:t>
      </w:r>
    </w:p>
    <w:p w14:paraId="4DBE3ACC" w14:textId="77777777" w:rsidR="006679EF" w:rsidRDefault="006679EF" w:rsidP="006679EF">
      <w:pPr>
        <w:autoSpaceDE w:val="0"/>
        <w:autoSpaceDN w:val="0"/>
        <w:adjustRightInd w:val="0"/>
        <w:rPr>
          <w:rFonts w:ascii="Arial" w:hAnsi="Arial" w:cs="Arial"/>
          <w:color w:val="000000"/>
        </w:rPr>
      </w:pPr>
    </w:p>
    <w:p w14:paraId="15E29448" w14:textId="77777777" w:rsidR="006679EF" w:rsidRPr="005C7057" w:rsidRDefault="006679EF" w:rsidP="006679EF">
      <w:pPr>
        <w:autoSpaceDE w:val="0"/>
        <w:autoSpaceDN w:val="0"/>
        <w:adjustRightInd w:val="0"/>
        <w:jc w:val="center"/>
        <w:rPr>
          <w:rFonts w:ascii="Arial" w:hAnsi="Arial" w:cs="Arial"/>
          <w:b/>
          <w:bCs/>
          <w:color w:val="000000"/>
        </w:rPr>
      </w:pPr>
      <w:r w:rsidRPr="005C7057">
        <w:rPr>
          <w:rFonts w:ascii="Arial" w:hAnsi="Arial" w:cs="Arial"/>
          <w:b/>
          <w:bCs/>
          <w:color w:val="000000"/>
        </w:rPr>
        <w:t>Članak 1.</w:t>
      </w:r>
    </w:p>
    <w:p w14:paraId="305F3E69" w14:textId="77777777" w:rsidR="006679EF" w:rsidRDefault="006679EF" w:rsidP="006679EF">
      <w:pPr>
        <w:autoSpaceDE w:val="0"/>
        <w:autoSpaceDN w:val="0"/>
        <w:adjustRightInd w:val="0"/>
        <w:jc w:val="both"/>
        <w:rPr>
          <w:rFonts w:ascii="Arial" w:hAnsi="Arial" w:cs="Arial"/>
          <w:color w:val="000000"/>
        </w:rPr>
      </w:pPr>
      <w:r>
        <w:rPr>
          <w:rFonts w:ascii="Arial" w:hAnsi="Arial" w:cs="Arial"/>
          <w:color w:val="000000"/>
        </w:rPr>
        <w:t>U Odluci o plaći i drugim pravima iz radnog odnosa gradonačelnika i zamjenika gradonačelnika Grada Ivanić-Grada („Službeni glasnik Grada Ivanić-Grada“, broj 06/13, 02/23) članak 5. mijenja se i glasi:</w:t>
      </w:r>
    </w:p>
    <w:p w14:paraId="50EA1B15" w14:textId="77777777" w:rsidR="006679EF" w:rsidRDefault="006679EF" w:rsidP="006679EF">
      <w:pPr>
        <w:autoSpaceDE w:val="0"/>
        <w:autoSpaceDN w:val="0"/>
        <w:adjustRightInd w:val="0"/>
        <w:jc w:val="center"/>
        <w:rPr>
          <w:rFonts w:ascii="Arial" w:hAnsi="Arial" w:cs="Arial"/>
          <w:color w:val="000000"/>
        </w:rPr>
      </w:pPr>
    </w:p>
    <w:p w14:paraId="401DE5C5" w14:textId="77777777" w:rsidR="006679EF" w:rsidRDefault="006679EF" w:rsidP="006679EF">
      <w:pPr>
        <w:autoSpaceDE w:val="0"/>
        <w:autoSpaceDN w:val="0"/>
        <w:adjustRightInd w:val="0"/>
        <w:jc w:val="center"/>
        <w:rPr>
          <w:rFonts w:ascii="Arial" w:hAnsi="Arial" w:cs="Arial"/>
          <w:color w:val="000000"/>
        </w:rPr>
      </w:pPr>
      <w:r>
        <w:rPr>
          <w:rFonts w:ascii="Arial" w:hAnsi="Arial" w:cs="Arial"/>
          <w:color w:val="000000"/>
        </w:rPr>
        <w:t>„Članak 5.</w:t>
      </w:r>
    </w:p>
    <w:p w14:paraId="56049B0B" w14:textId="77777777" w:rsidR="006679EF" w:rsidRDefault="006679EF" w:rsidP="006679EF">
      <w:pPr>
        <w:autoSpaceDE w:val="0"/>
        <w:autoSpaceDN w:val="0"/>
        <w:adjustRightInd w:val="0"/>
        <w:jc w:val="both"/>
        <w:rPr>
          <w:rFonts w:ascii="Arial" w:hAnsi="Arial" w:cs="Arial"/>
          <w:color w:val="000000"/>
        </w:rPr>
      </w:pPr>
      <w:r>
        <w:rPr>
          <w:rFonts w:ascii="Arial" w:hAnsi="Arial" w:cs="Arial"/>
          <w:color w:val="000000"/>
        </w:rPr>
        <w:t xml:space="preserve">Dužnosnik koji dužnost obavlja profesionalno za vrijeme profesionalnog obavljanja dužnosti ima, osim prava na plaću, pravo na staž osiguranja i ostvaruje prava iz mirovinskog i zdravstvenog osiguranja i druga prava iz rada, i to pravo na: </w:t>
      </w:r>
    </w:p>
    <w:p w14:paraId="09BCE518"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 xml:space="preserve">dnevnicu za službeno putovanje u tuzemstvu i inozemstvu, </w:t>
      </w:r>
    </w:p>
    <w:p w14:paraId="2EAD7301" w14:textId="77777777" w:rsidR="006679EF" w:rsidRPr="005C7057"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naknadu prijevoznih troškova i troškova noćenja na službenom putovanju,</w:t>
      </w:r>
    </w:p>
    <w:p w14:paraId="4F21CA6C"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naknadu za korištenje privatnog automobila u službene svrhe,</w:t>
      </w:r>
    </w:p>
    <w:p w14:paraId="5E5F8200"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 xml:space="preserve">naknadu troškova prijevoza na posao i s posla mjesnim i/ili međumjesnim prijevozom, </w:t>
      </w:r>
    </w:p>
    <w:p w14:paraId="110B2201"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novčanu paušalnu naknadu za podmirivanje troškova prehrane,</w:t>
      </w:r>
    </w:p>
    <w:p w14:paraId="73243855"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potporu za novorođenče,</w:t>
      </w:r>
    </w:p>
    <w:p w14:paraId="4F920904"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potporu za slučaj smrti člana uže obitelji,</w:t>
      </w:r>
    </w:p>
    <w:p w14:paraId="3070CD46"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potporu zbog invalidnosti,</w:t>
      </w:r>
    </w:p>
    <w:p w14:paraId="727FC2B4" w14:textId="77777777" w:rsidR="006679EF"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potporu za slučaj smrti,</w:t>
      </w:r>
    </w:p>
    <w:p w14:paraId="2A5D7026" w14:textId="77777777" w:rsidR="006679EF" w:rsidRPr="005C7057" w:rsidRDefault="006679EF" w:rsidP="006679EF">
      <w:pPr>
        <w:pStyle w:val="Odlomakpopisa"/>
        <w:numPr>
          <w:ilvl w:val="0"/>
          <w:numId w:val="1"/>
        </w:numPr>
        <w:autoSpaceDE w:val="0"/>
        <w:autoSpaceDN w:val="0"/>
        <w:adjustRightInd w:val="0"/>
        <w:jc w:val="both"/>
        <w:rPr>
          <w:rFonts w:ascii="Arial" w:hAnsi="Arial" w:cs="Arial"/>
          <w:color w:val="000000"/>
        </w:rPr>
      </w:pPr>
      <w:r>
        <w:rPr>
          <w:rFonts w:ascii="Arial" w:hAnsi="Arial" w:cs="Arial"/>
          <w:color w:val="000000"/>
        </w:rPr>
        <w:t xml:space="preserve">potporu zbog neprekidnog bolovanja dužeg od 90 dana, </w:t>
      </w:r>
    </w:p>
    <w:p w14:paraId="5DA425EA" w14:textId="77777777" w:rsidR="006679EF" w:rsidRDefault="006679EF" w:rsidP="006679EF">
      <w:pPr>
        <w:autoSpaceDE w:val="0"/>
        <w:autoSpaceDN w:val="0"/>
        <w:adjustRightInd w:val="0"/>
        <w:jc w:val="both"/>
        <w:rPr>
          <w:rFonts w:ascii="Arial" w:hAnsi="Arial" w:cs="Arial"/>
          <w:color w:val="000000"/>
        </w:rPr>
      </w:pPr>
      <w:r>
        <w:rPr>
          <w:rFonts w:ascii="Arial" w:hAnsi="Arial" w:cs="Arial"/>
          <w:color w:val="000000"/>
        </w:rPr>
        <w:t>u visini propisanoj aktima koji se primjenjuju na službenike i namještenike u upravnim tijelima Grada Ivanić-Grada.</w:t>
      </w:r>
    </w:p>
    <w:p w14:paraId="7D4F601D" w14:textId="77777777" w:rsidR="006679EF" w:rsidRPr="00CE199D" w:rsidRDefault="006679EF" w:rsidP="006679EF">
      <w:pPr>
        <w:autoSpaceDE w:val="0"/>
        <w:autoSpaceDN w:val="0"/>
        <w:adjustRightInd w:val="0"/>
        <w:jc w:val="both"/>
        <w:rPr>
          <w:rFonts w:ascii="Arial" w:hAnsi="Arial" w:cs="Arial"/>
          <w:color w:val="000000"/>
        </w:rPr>
      </w:pPr>
      <w:r>
        <w:rPr>
          <w:rFonts w:ascii="Arial" w:hAnsi="Arial" w:cs="Arial"/>
          <w:color w:val="000000"/>
        </w:rPr>
        <w:t xml:space="preserve">Dužnosnik, osim prava iz stavka 1. ovoga članka, ima pravo na plaćanje premije osiguranja za slučaj ozljede na radu, putnog osiguranja za službeno putovanje i osiguranja od menadžerske odgovornosti te pravo na korištenje službenog automobila, računala i mobitela u službene svrhe.“. </w:t>
      </w:r>
    </w:p>
    <w:p w14:paraId="69273E21" w14:textId="77777777" w:rsidR="006679EF" w:rsidRDefault="006679EF" w:rsidP="006679EF">
      <w:pPr>
        <w:autoSpaceDE w:val="0"/>
        <w:autoSpaceDN w:val="0"/>
        <w:adjustRightInd w:val="0"/>
        <w:jc w:val="both"/>
        <w:rPr>
          <w:rFonts w:ascii="Arial" w:hAnsi="Arial" w:cs="Arial"/>
          <w:color w:val="000000"/>
        </w:rPr>
      </w:pPr>
    </w:p>
    <w:p w14:paraId="21877319" w14:textId="77777777" w:rsidR="006679EF" w:rsidRPr="005C7057" w:rsidRDefault="006679EF" w:rsidP="006679EF">
      <w:pPr>
        <w:autoSpaceDE w:val="0"/>
        <w:autoSpaceDN w:val="0"/>
        <w:adjustRightInd w:val="0"/>
        <w:jc w:val="center"/>
        <w:rPr>
          <w:rFonts w:ascii="Arial" w:hAnsi="Arial" w:cs="Arial"/>
          <w:b/>
          <w:bCs/>
          <w:color w:val="000000"/>
        </w:rPr>
      </w:pPr>
      <w:r w:rsidRPr="005C7057">
        <w:rPr>
          <w:rFonts w:ascii="Arial" w:hAnsi="Arial" w:cs="Arial"/>
          <w:b/>
          <w:bCs/>
          <w:color w:val="000000"/>
        </w:rPr>
        <w:t>Članak 2.</w:t>
      </w:r>
    </w:p>
    <w:p w14:paraId="64574A44" w14:textId="77777777" w:rsidR="006679EF" w:rsidRPr="005C7057" w:rsidRDefault="006679EF" w:rsidP="006679EF">
      <w:pPr>
        <w:autoSpaceDE w:val="0"/>
        <w:autoSpaceDN w:val="0"/>
        <w:adjustRightInd w:val="0"/>
        <w:jc w:val="both"/>
        <w:rPr>
          <w:rFonts w:ascii="Arial" w:hAnsi="Arial" w:cs="Arial"/>
          <w:color w:val="000000"/>
        </w:rPr>
      </w:pPr>
      <w:r>
        <w:rPr>
          <w:rFonts w:ascii="Arial" w:hAnsi="Arial" w:cs="Arial"/>
          <w:color w:val="000000"/>
        </w:rPr>
        <w:t>Ova Odluka stupa na snagu osmoga dana od dana objave u Službenom glasniku Grada Ivanić-Grada.</w:t>
      </w:r>
    </w:p>
    <w:p w14:paraId="03C8F7C9" w14:textId="77777777" w:rsidR="006679EF" w:rsidRDefault="006679EF" w:rsidP="006679EF">
      <w:pPr>
        <w:pStyle w:val="Default"/>
        <w:jc w:val="center"/>
      </w:pPr>
      <w:r>
        <w:t>REPUBLIKA HRVATSKA</w:t>
      </w:r>
    </w:p>
    <w:p w14:paraId="4FD68EC5" w14:textId="77777777" w:rsidR="006679EF" w:rsidRDefault="006679EF" w:rsidP="006679EF">
      <w:pPr>
        <w:pStyle w:val="Default"/>
        <w:jc w:val="center"/>
      </w:pPr>
      <w:r>
        <w:t>ZAGREBAČKA ŽUPANIJA</w:t>
      </w:r>
    </w:p>
    <w:p w14:paraId="752FF09B" w14:textId="77777777" w:rsidR="006679EF" w:rsidRDefault="006679EF" w:rsidP="006679EF">
      <w:pPr>
        <w:pStyle w:val="Default"/>
        <w:jc w:val="center"/>
      </w:pPr>
      <w:r>
        <w:t>GRAD IVANIĆ-GRAD</w:t>
      </w:r>
    </w:p>
    <w:p w14:paraId="4B2E70BB" w14:textId="77777777" w:rsidR="006679EF" w:rsidRDefault="006679EF" w:rsidP="006679EF">
      <w:pPr>
        <w:pStyle w:val="Default"/>
        <w:spacing w:after="120"/>
        <w:jc w:val="center"/>
        <w:rPr>
          <w:bCs/>
        </w:rPr>
      </w:pPr>
      <w:r>
        <w:rPr>
          <w:bCs/>
        </w:rPr>
        <w:t xml:space="preserve">GRADSKO VIJEĆE  </w:t>
      </w:r>
    </w:p>
    <w:p w14:paraId="697FF965" w14:textId="77777777" w:rsidR="006679EF" w:rsidRDefault="006679EF" w:rsidP="006679EF">
      <w:pPr>
        <w:pStyle w:val="Default"/>
        <w:tabs>
          <w:tab w:val="left" w:pos="6180"/>
        </w:tabs>
      </w:pPr>
      <w:r>
        <w:t>KLASA:                                                                        Predsjednik Gradskog vijeća:</w:t>
      </w:r>
    </w:p>
    <w:p w14:paraId="6D8F7CC4" w14:textId="77777777" w:rsidR="006679EF" w:rsidRDefault="006679EF" w:rsidP="006679EF">
      <w:pPr>
        <w:pStyle w:val="Default"/>
      </w:pPr>
      <w:r>
        <w:t xml:space="preserve">URBROJ:  </w:t>
      </w:r>
    </w:p>
    <w:p w14:paraId="34B26CAE" w14:textId="77777777" w:rsidR="006679EF" w:rsidRDefault="006679EF" w:rsidP="006679EF">
      <w:pPr>
        <w:pStyle w:val="Default"/>
        <w:tabs>
          <w:tab w:val="left" w:pos="5685"/>
        </w:tabs>
      </w:pPr>
      <w:r>
        <w:t xml:space="preserve">Ivanić-Grad, </w:t>
      </w:r>
      <w:r w:rsidRPr="00925B63">
        <w:t>________</w:t>
      </w:r>
      <w:r>
        <w:t xml:space="preserve"> </w:t>
      </w:r>
      <w:r w:rsidRPr="00925B63">
        <w:t>202</w:t>
      </w:r>
      <w:r>
        <w:t>3.                                 Željko Pongrac, pravnik kriminalist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4"/>
      </w:tblGrid>
      <w:tr w:rsidR="006679EF" w:rsidRPr="0014466D" w14:paraId="170EE0D6" w14:textId="77777777" w:rsidTr="0089239C">
        <w:tc>
          <w:tcPr>
            <w:tcW w:w="4248" w:type="dxa"/>
          </w:tcPr>
          <w:p w14:paraId="3C002441" w14:textId="77777777" w:rsidR="006679EF" w:rsidRPr="0014466D" w:rsidRDefault="006679EF" w:rsidP="0089239C">
            <w:pPr>
              <w:jc w:val="both"/>
              <w:rPr>
                <w:rFonts w:ascii="Arial" w:hAnsi="Arial" w:cs="Arial"/>
                <w:b/>
              </w:rPr>
            </w:pPr>
            <w:bookmarkStart w:id="0" w:name="_Hlk107747300"/>
          </w:p>
          <w:p w14:paraId="6C7BB1AB" w14:textId="77777777" w:rsidR="006679EF" w:rsidRPr="0014466D" w:rsidRDefault="006679EF" w:rsidP="0089239C">
            <w:pPr>
              <w:jc w:val="both"/>
              <w:rPr>
                <w:rFonts w:ascii="Arial" w:hAnsi="Arial" w:cs="Arial"/>
                <w:b/>
              </w:rPr>
            </w:pPr>
            <w:r w:rsidRPr="0014466D">
              <w:rPr>
                <w:rFonts w:ascii="Arial" w:hAnsi="Arial" w:cs="Arial"/>
                <w:b/>
              </w:rPr>
              <w:t>PREDMET:</w:t>
            </w:r>
          </w:p>
          <w:p w14:paraId="605BE814" w14:textId="77777777" w:rsidR="006679EF" w:rsidRPr="0014466D" w:rsidRDefault="006679EF" w:rsidP="0089239C">
            <w:pPr>
              <w:jc w:val="both"/>
              <w:rPr>
                <w:rFonts w:ascii="Arial" w:hAnsi="Arial" w:cs="Arial"/>
                <w:b/>
              </w:rPr>
            </w:pPr>
          </w:p>
        </w:tc>
        <w:tc>
          <w:tcPr>
            <w:tcW w:w="4814" w:type="dxa"/>
          </w:tcPr>
          <w:p w14:paraId="40E323F4" w14:textId="77777777" w:rsidR="006679EF" w:rsidRPr="0014466D" w:rsidRDefault="006679EF" w:rsidP="0089239C">
            <w:pPr>
              <w:rPr>
                <w:rFonts w:ascii="Arial" w:hAnsi="Arial" w:cs="Arial"/>
                <w:bCs/>
                <w:lang w:eastAsia="en-US"/>
              </w:rPr>
            </w:pPr>
          </w:p>
          <w:p w14:paraId="64E71590" w14:textId="77777777" w:rsidR="006679EF" w:rsidRPr="0014466D" w:rsidRDefault="006679EF" w:rsidP="0089239C">
            <w:pPr>
              <w:jc w:val="both"/>
              <w:rPr>
                <w:rFonts w:ascii="Arial" w:hAnsi="Arial" w:cs="Arial"/>
                <w:bCs/>
                <w:lang w:eastAsia="en-US"/>
              </w:rPr>
            </w:pPr>
            <w:r w:rsidRPr="0014466D">
              <w:rPr>
                <w:rFonts w:ascii="Arial" w:hAnsi="Arial" w:cs="Arial"/>
                <w:bCs/>
                <w:lang w:eastAsia="en-US"/>
              </w:rPr>
              <w:t>Prijedlog Odluke</w:t>
            </w:r>
            <w:r>
              <w:rPr>
                <w:rFonts w:ascii="Arial" w:hAnsi="Arial" w:cs="Arial"/>
                <w:bCs/>
                <w:lang w:eastAsia="en-US"/>
              </w:rPr>
              <w:t xml:space="preserve"> o </w:t>
            </w:r>
            <w:r w:rsidRPr="00183AA4">
              <w:rPr>
                <w:rFonts w:ascii="Arial" w:hAnsi="Arial" w:cs="Arial"/>
                <w:bCs/>
                <w:lang w:eastAsia="en-US"/>
              </w:rPr>
              <w:t>izmjenama Odluke o plaći i drugim pravima iz radnog odnosa gradonačelnika</w:t>
            </w:r>
            <w:r>
              <w:rPr>
                <w:rFonts w:ascii="Arial" w:hAnsi="Arial" w:cs="Arial"/>
                <w:bCs/>
                <w:lang w:eastAsia="en-US"/>
              </w:rPr>
              <w:t xml:space="preserve"> i </w:t>
            </w:r>
            <w:r w:rsidRPr="00183AA4">
              <w:rPr>
                <w:rFonts w:ascii="Arial" w:hAnsi="Arial" w:cs="Arial"/>
                <w:bCs/>
                <w:lang w:eastAsia="en-US"/>
              </w:rPr>
              <w:t>zamjenika</w:t>
            </w:r>
            <w:r>
              <w:rPr>
                <w:rFonts w:ascii="Arial" w:hAnsi="Arial" w:cs="Arial"/>
                <w:bCs/>
                <w:lang w:eastAsia="en-US"/>
              </w:rPr>
              <w:t xml:space="preserve"> </w:t>
            </w:r>
            <w:r w:rsidRPr="00183AA4">
              <w:rPr>
                <w:rFonts w:ascii="Arial" w:hAnsi="Arial" w:cs="Arial"/>
                <w:bCs/>
                <w:lang w:eastAsia="en-US"/>
              </w:rPr>
              <w:t>gradonačelnika Grada Ivanić-Grada</w:t>
            </w:r>
          </w:p>
          <w:p w14:paraId="103331EC" w14:textId="77777777" w:rsidR="006679EF" w:rsidRPr="0014466D" w:rsidRDefault="006679EF" w:rsidP="0089239C">
            <w:pPr>
              <w:rPr>
                <w:rFonts w:ascii="Arial" w:hAnsi="Arial" w:cs="Arial"/>
                <w:bCs/>
                <w:lang w:eastAsia="en-US"/>
              </w:rPr>
            </w:pPr>
          </w:p>
        </w:tc>
      </w:tr>
      <w:bookmarkEnd w:id="0"/>
      <w:tr w:rsidR="006679EF" w:rsidRPr="0014466D" w14:paraId="45FE7AB9" w14:textId="77777777" w:rsidTr="0089239C">
        <w:tc>
          <w:tcPr>
            <w:tcW w:w="4248" w:type="dxa"/>
          </w:tcPr>
          <w:p w14:paraId="30D42AC4" w14:textId="77777777" w:rsidR="006679EF" w:rsidRPr="0014466D" w:rsidRDefault="006679EF" w:rsidP="0089239C">
            <w:pPr>
              <w:jc w:val="both"/>
              <w:rPr>
                <w:rFonts w:ascii="Arial" w:hAnsi="Arial" w:cs="Arial"/>
                <w:b/>
                <w:color w:val="000000"/>
              </w:rPr>
            </w:pPr>
          </w:p>
          <w:p w14:paraId="56795D72" w14:textId="77777777" w:rsidR="006679EF" w:rsidRPr="0014466D" w:rsidRDefault="006679EF" w:rsidP="0089239C">
            <w:pPr>
              <w:jc w:val="both"/>
              <w:rPr>
                <w:rFonts w:ascii="Arial" w:hAnsi="Arial" w:cs="Arial"/>
                <w:b/>
                <w:color w:val="000000"/>
              </w:rPr>
            </w:pPr>
            <w:r w:rsidRPr="0014466D">
              <w:rPr>
                <w:rFonts w:ascii="Arial" w:hAnsi="Arial" w:cs="Arial"/>
                <w:b/>
                <w:color w:val="000000"/>
              </w:rPr>
              <w:t>PRAVNI TEMELJ:</w:t>
            </w:r>
          </w:p>
          <w:p w14:paraId="0902B9C1" w14:textId="77777777" w:rsidR="006679EF" w:rsidRPr="0014466D" w:rsidRDefault="006679EF" w:rsidP="0089239C">
            <w:pPr>
              <w:jc w:val="both"/>
              <w:rPr>
                <w:rFonts w:ascii="Arial" w:hAnsi="Arial" w:cs="Arial"/>
                <w:b/>
                <w:color w:val="000000"/>
              </w:rPr>
            </w:pPr>
          </w:p>
        </w:tc>
        <w:tc>
          <w:tcPr>
            <w:tcW w:w="4814" w:type="dxa"/>
          </w:tcPr>
          <w:p w14:paraId="489CE4B3" w14:textId="77777777" w:rsidR="006679EF" w:rsidRPr="0014466D" w:rsidRDefault="006679EF" w:rsidP="0089239C">
            <w:pPr>
              <w:jc w:val="both"/>
              <w:rPr>
                <w:rFonts w:ascii="Arial" w:eastAsia="Calibri" w:hAnsi="Arial" w:cs="Arial"/>
                <w:bCs/>
                <w:lang w:eastAsia="en-US"/>
              </w:rPr>
            </w:pPr>
            <w:r>
              <w:rPr>
                <w:rFonts w:ascii="Arial" w:eastAsia="Calibri" w:hAnsi="Arial" w:cs="Arial"/>
                <w:color w:val="000000"/>
              </w:rPr>
              <w:t xml:space="preserve">Na temelju članka 90.a Zakona o lokalnoj i područnoj (regionalnoj) samoupravi (Narodne novine, broj </w:t>
            </w:r>
            <w:r w:rsidRPr="001D29CA">
              <w:rPr>
                <w:rFonts w:ascii="Arial" w:eastAsia="Calibri" w:hAnsi="Arial" w:cs="Arial"/>
                <w:color w:val="000000"/>
              </w:rPr>
              <w:t>33/01, 60/01, 129/05, 109/07, 125/08, 36/09</w:t>
            </w:r>
            <w:r>
              <w:rPr>
                <w:rFonts w:ascii="Arial" w:eastAsia="Calibri" w:hAnsi="Arial" w:cs="Arial"/>
                <w:color w:val="000000"/>
              </w:rPr>
              <w:t xml:space="preserve">, </w:t>
            </w:r>
            <w:r w:rsidRPr="001D29CA">
              <w:rPr>
                <w:rFonts w:ascii="Arial" w:eastAsia="Calibri" w:hAnsi="Arial" w:cs="Arial"/>
                <w:color w:val="000000"/>
              </w:rPr>
              <w:t>150/11, 144/12, 19/13, 137/15, 123/17, 98/19, 144/20</w:t>
            </w:r>
            <w:r>
              <w:rPr>
                <w:rFonts w:ascii="Arial" w:eastAsia="Calibri" w:hAnsi="Arial" w:cs="Arial"/>
                <w:color w:val="000000"/>
              </w:rPr>
              <w:t xml:space="preserve">), članka 3. Zakona o plaćama u lokalnoj i područnoj (regionalnoj) samoupravi (Narodne novine, broj 28/10, 10/23) i </w:t>
            </w:r>
            <w:r w:rsidRPr="00925B63">
              <w:rPr>
                <w:rFonts w:ascii="Arial" w:hAnsi="Arial" w:cs="Arial"/>
                <w:color w:val="000000"/>
              </w:rPr>
              <w:t>članka 35. Statuta Grada Ivanić-Grada (Službeni glasnik Grada Ivanić-Grada, broj 01/21, 04/22)</w:t>
            </w:r>
          </w:p>
        </w:tc>
      </w:tr>
      <w:tr w:rsidR="006679EF" w:rsidRPr="0014466D" w14:paraId="138FDDED" w14:textId="77777777" w:rsidTr="0089239C">
        <w:tc>
          <w:tcPr>
            <w:tcW w:w="4248" w:type="dxa"/>
          </w:tcPr>
          <w:p w14:paraId="4EB6E0ED" w14:textId="77777777" w:rsidR="006679EF" w:rsidRPr="0014466D" w:rsidRDefault="006679EF" w:rsidP="0089239C">
            <w:pPr>
              <w:jc w:val="both"/>
              <w:rPr>
                <w:rFonts w:ascii="Arial" w:hAnsi="Arial" w:cs="Arial"/>
                <w:b/>
                <w:color w:val="000000"/>
              </w:rPr>
            </w:pPr>
          </w:p>
          <w:p w14:paraId="58DFB625" w14:textId="77777777" w:rsidR="006679EF" w:rsidRPr="0014466D" w:rsidRDefault="006679EF" w:rsidP="0089239C">
            <w:pPr>
              <w:jc w:val="both"/>
              <w:rPr>
                <w:rFonts w:ascii="Arial" w:hAnsi="Arial" w:cs="Arial"/>
                <w:b/>
                <w:color w:val="000000"/>
              </w:rPr>
            </w:pPr>
            <w:r w:rsidRPr="0014466D">
              <w:rPr>
                <w:rFonts w:ascii="Arial" w:hAnsi="Arial" w:cs="Arial"/>
                <w:b/>
                <w:color w:val="000000"/>
              </w:rPr>
              <w:t>STRUČNA OBRADA:</w:t>
            </w:r>
          </w:p>
          <w:p w14:paraId="195B7F50" w14:textId="77777777" w:rsidR="006679EF" w:rsidRPr="0014466D" w:rsidRDefault="006679EF" w:rsidP="0089239C">
            <w:pPr>
              <w:jc w:val="both"/>
              <w:rPr>
                <w:rFonts w:ascii="Arial" w:hAnsi="Arial" w:cs="Arial"/>
                <w:b/>
                <w:color w:val="000000"/>
              </w:rPr>
            </w:pPr>
          </w:p>
          <w:p w14:paraId="662FD9AE" w14:textId="77777777" w:rsidR="006679EF" w:rsidRPr="0014466D" w:rsidRDefault="006679EF" w:rsidP="0089239C">
            <w:pPr>
              <w:jc w:val="both"/>
              <w:rPr>
                <w:rFonts w:ascii="Arial" w:hAnsi="Arial" w:cs="Arial"/>
                <w:b/>
                <w:color w:val="000000"/>
              </w:rPr>
            </w:pPr>
          </w:p>
        </w:tc>
        <w:tc>
          <w:tcPr>
            <w:tcW w:w="4814" w:type="dxa"/>
          </w:tcPr>
          <w:p w14:paraId="54BEDC33" w14:textId="77777777" w:rsidR="006679EF" w:rsidRPr="0014466D" w:rsidRDefault="006679EF" w:rsidP="0089239C">
            <w:pPr>
              <w:jc w:val="both"/>
              <w:rPr>
                <w:rFonts w:ascii="Arial" w:hAnsi="Arial" w:cs="Arial"/>
                <w:iCs/>
              </w:rPr>
            </w:pPr>
          </w:p>
          <w:p w14:paraId="39127143" w14:textId="77777777" w:rsidR="006679EF" w:rsidRPr="0014466D" w:rsidRDefault="006679EF" w:rsidP="0089239C">
            <w:pPr>
              <w:jc w:val="both"/>
              <w:rPr>
                <w:rFonts w:ascii="Arial" w:hAnsi="Arial" w:cs="Arial"/>
                <w:iCs/>
              </w:rPr>
            </w:pPr>
            <w:r w:rsidRPr="0014466D">
              <w:rPr>
                <w:rFonts w:ascii="Arial" w:hAnsi="Arial" w:cs="Arial"/>
                <w:iCs/>
              </w:rPr>
              <w:t>Upravni odjel za lokalnu samoupravu, pravne poslove i društvene djelatnosti</w:t>
            </w:r>
          </w:p>
        </w:tc>
      </w:tr>
      <w:tr w:rsidR="006679EF" w:rsidRPr="0014466D" w14:paraId="6DE80E0A" w14:textId="77777777" w:rsidTr="0089239C">
        <w:tc>
          <w:tcPr>
            <w:tcW w:w="4248" w:type="dxa"/>
          </w:tcPr>
          <w:p w14:paraId="1141849F" w14:textId="77777777" w:rsidR="006679EF" w:rsidRPr="0014466D" w:rsidRDefault="006679EF" w:rsidP="0089239C">
            <w:pPr>
              <w:jc w:val="both"/>
              <w:rPr>
                <w:rFonts w:ascii="Arial" w:hAnsi="Arial" w:cs="Arial"/>
                <w:b/>
                <w:color w:val="000000"/>
              </w:rPr>
            </w:pPr>
          </w:p>
          <w:p w14:paraId="19899218" w14:textId="77777777" w:rsidR="006679EF" w:rsidRPr="0014466D" w:rsidRDefault="006679EF" w:rsidP="0089239C">
            <w:pPr>
              <w:jc w:val="both"/>
              <w:rPr>
                <w:rFonts w:ascii="Arial" w:hAnsi="Arial" w:cs="Arial"/>
                <w:b/>
                <w:color w:val="000000"/>
              </w:rPr>
            </w:pPr>
            <w:r w:rsidRPr="0014466D">
              <w:rPr>
                <w:rFonts w:ascii="Arial" w:hAnsi="Arial" w:cs="Arial"/>
                <w:b/>
                <w:color w:val="000000"/>
              </w:rPr>
              <w:t>NADLEŽNOST ZA DONOŠENJE:</w:t>
            </w:r>
          </w:p>
          <w:p w14:paraId="4DB65D63" w14:textId="77777777" w:rsidR="006679EF" w:rsidRPr="0014466D" w:rsidRDefault="006679EF" w:rsidP="0089239C">
            <w:pPr>
              <w:jc w:val="both"/>
              <w:rPr>
                <w:rFonts w:ascii="Arial" w:hAnsi="Arial" w:cs="Arial"/>
                <w:b/>
                <w:color w:val="000000"/>
              </w:rPr>
            </w:pPr>
          </w:p>
        </w:tc>
        <w:tc>
          <w:tcPr>
            <w:tcW w:w="4814" w:type="dxa"/>
          </w:tcPr>
          <w:p w14:paraId="6829816B" w14:textId="77777777" w:rsidR="006679EF" w:rsidRPr="0014466D" w:rsidRDefault="006679EF" w:rsidP="0089239C">
            <w:pPr>
              <w:jc w:val="both"/>
              <w:rPr>
                <w:rFonts w:ascii="Arial" w:hAnsi="Arial" w:cs="Arial"/>
                <w:color w:val="000000"/>
              </w:rPr>
            </w:pPr>
          </w:p>
          <w:p w14:paraId="1B56D9A3" w14:textId="77777777" w:rsidR="006679EF" w:rsidRPr="0014466D" w:rsidRDefault="006679EF" w:rsidP="0089239C">
            <w:pPr>
              <w:jc w:val="both"/>
              <w:rPr>
                <w:rFonts w:ascii="Arial" w:hAnsi="Arial" w:cs="Arial"/>
                <w:color w:val="000000"/>
              </w:rPr>
            </w:pPr>
            <w:r w:rsidRPr="0014466D">
              <w:rPr>
                <w:rFonts w:ascii="Arial" w:hAnsi="Arial" w:cs="Arial"/>
                <w:color w:val="000000"/>
              </w:rPr>
              <w:t>Gradsko vijeće Grada Ivanić-Grada</w:t>
            </w:r>
          </w:p>
        </w:tc>
      </w:tr>
    </w:tbl>
    <w:p w14:paraId="7A6F8EF0" w14:textId="77777777" w:rsidR="006679EF" w:rsidRPr="0014466D" w:rsidRDefault="006679EF" w:rsidP="006679EF">
      <w:pPr>
        <w:rPr>
          <w:rFonts w:ascii="Calibri" w:eastAsia="Calibri" w:hAnsi="Calibri"/>
          <w:sz w:val="22"/>
          <w:szCs w:val="22"/>
          <w:lang w:eastAsia="en-US"/>
        </w:rPr>
      </w:pPr>
    </w:p>
    <w:p w14:paraId="24CB9064" w14:textId="77777777" w:rsidR="006679EF" w:rsidRDefault="006679EF" w:rsidP="006679EF">
      <w:pPr>
        <w:spacing w:after="160" w:line="259" w:lineRule="auto"/>
        <w:jc w:val="both"/>
        <w:rPr>
          <w:rFonts w:ascii="Arial" w:eastAsia="Calibri" w:hAnsi="Arial" w:cs="Arial"/>
          <w:b/>
          <w:bCs/>
          <w:lang w:eastAsia="en-US"/>
        </w:rPr>
      </w:pPr>
      <w:r w:rsidRPr="009409D1">
        <w:rPr>
          <w:rFonts w:ascii="Arial" w:eastAsia="Calibri" w:hAnsi="Arial" w:cs="Arial"/>
          <w:b/>
          <w:bCs/>
          <w:lang w:eastAsia="en-US"/>
        </w:rPr>
        <w:t>OBRAZLOŽENJ</w:t>
      </w:r>
      <w:r>
        <w:rPr>
          <w:rFonts w:ascii="Arial" w:eastAsia="Calibri" w:hAnsi="Arial" w:cs="Arial"/>
          <w:b/>
          <w:bCs/>
          <w:lang w:eastAsia="en-US"/>
        </w:rPr>
        <w:t>E:</w:t>
      </w:r>
    </w:p>
    <w:p w14:paraId="306F01E7" w14:textId="77777777" w:rsidR="006679EF" w:rsidRPr="009409D1" w:rsidRDefault="006679EF" w:rsidP="006679EF">
      <w:pPr>
        <w:spacing w:after="160" w:line="259" w:lineRule="auto"/>
        <w:jc w:val="both"/>
        <w:rPr>
          <w:rFonts w:ascii="Arial" w:eastAsia="Calibri" w:hAnsi="Arial" w:cs="Arial"/>
          <w:b/>
          <w:bCs/>
          <w:lang w:eastAsia="en-US"/>
        </w:rPr>
      </w:pPr>
      <w:r w:rsidRPr="0014466D">
        <w:rPr>
          <w:rFonts w:ascii="Arial" w:eastAsia="Calibri" w:hAnsi="Arial" w:cs="Arial"/>
          <w:lang w:eastAsia="en-US"/>
        </w:rPr>
        <w:t>P</w:t>
      </w:r>
      <w:r>
        <w:rPr>
          <w:rFonts w:ascii="Arial" w:eastAsia="Calibri" w:hAnsi="Arial" w:cs="Arial"/>
          <w:lang w:eastAsia="en-US"/>
        </w:rPr>
        <w:t xml:space="preserve">ravni </w:t>
      </w:r>
      <w:r w:rsidRPr="0014466D">
        <w:rPr>
          <w:rFonts w:ascii="Arial" w:eastAsia="Calibri" w:hAnsi="Arial" w:cs="Arial"/>
          <w:lang w:eastAsia="en-US"/>
        </w:rPr>
        <w:t>temelj za donošenje ove Odluke su odred</w:t>
      </w:r>
      <w:r>
        <w:rPr>
          <w:rFonts w:ascii="Arial" w:eastAsia="Calibri" w:hAnsi="Arial" w:cs="Arial"/>
          <w:lang w:eastAsia="en-US"/>
        </w:rPr>
        <w:t xml:space="preserve">be članka </w:t>
      </w:r>
      <w:r>
        <w:rPr>
          <w:rFonts w:ascii="Arial" w:eastAsia="Calibri" w:hAnsi="Arial" w:cs="Arial"/>
          <w:color w:val="000000"/>
        </w:rPr>
        <w:t xml:space="preserve">90.a Zakona o lokalnoj i područnoj (regionalnoj) samoupravi (Narodne novine, broj </w:t>
      </w:r>
      <w:r w:rsidRPr="001D29CA">
        <w:rPr>
          <w:rFonts w:ascii="Arial" w:eastAsia="Calibri" w:hAnsi="Arial" w:cs="Arial"/>
          <w:color w:val="000000"/>
        </w:rPr>
        <w:t>33/01, 60/01, 129/05, 109/07, 125/08, 36/09</w:t>
      </w:r>
      <w:r>
        <w:rPr>
          <w:rFonts w:ascii="Arial" w:eastAsia="Calibri" w:hAnsi="Arial" w:cs="Arial"/>
          <w:color w:val="000000"/>
        </w:rPr>
        <w:t xml:space="preserve">, </w:t>
      </w:r>
      <w:r w:rsidRPr="001D29CA">
        <w:rPr>
          <w:rFonts w:ascii="Arial" w:eastAsia="Calibri" w:hAnsi="Arial" w:cs="Arial"/>
          <w:color w:val="000000"/>
        </w:rPr>
        <w:t>150/11, 144/12, 19/13, 137/15, 123/17, 98/19, 144/20</w:t>
      </w:r>
      <w:r>
        <w:rPr>
          <w:rFonts w:ascii="Arial" w:eastAsia="Calibri" w:hAnsi="Arial" w:cs="Arial"/>
          <w:color w:val="000000"/>
        </w:rPr>
        <w:t xml:space="preserve">) i članka </w:t>
      </w:r>
      <w:r>
        <w:rPr>
          <w:rFonts w:ascii="Arial" w:eastAsia="Calibri" w:hAnsi="Arial" w:cs="Arial"/>
          <w:lang w:eastAsia="en-US"/>
        </w:rPr>
        <w:t xml:space="preserve">3. Zakona </w:t>
      </w:r>
      <w:r>
        <w:rPr>
          <w:rFonts w:ascii="Arial" w:eastAsia="Calibri" w:hAnsi="Arial" w:cs="Arial"/>
          <w:color w:val="000000"/>
        </w:rPr>
        <w:t xml:space="preserve">o plaćama u lokalnoj i područnoj (regionalnoj) samoupravi (Narodne novine, </w:t>
      </w:r>
      <w:r w:rsidRPr="00BC59FD">
        <w:rPr>
          <w:rFonts w:ascii="Arial" w:eastAsia="Calibri" w:hAnsi="Arial" w:cs="Arial"/>
          <w:color w:val="000000"/>
        </w:rPr>
        <w:t>broj 28/10, 10/23).</w:t>
      </w:r>
    </w:p>
    <w:p w14:paraId="2DA8CFE3" w14:textId="77777777" w:rsidR="006679EF" w:rsidRDefault="006679EF" w:rsidP="006679EF">
      <w:pPr>
        <w:spacing w:after="160" w:line="259" w:lineRule="auto"/>
        <w:jc w:val="both"/>
        <w:rPr>
          <w:rFonts w:ascii="Arial" w:hAnsi="Arial" w:cs="Arial"/>
        </w:rPr>
      </w:pPr>
      <w:r w:rsidRPr="00BC59FD">
        <w:rPr>
          <w:rFonts w:ascii="Arial" w:eastAsia="Calibri" w:hAnsi="Arial" w:cs="Arial"/>
          <w:color w:val="000000"/>
        </w:rPr>
        <w:t>Odredbom članka</w:t>
      </w:r>
      <w:r>
        <w:rPr>
          <w:rFonts w:ascii="Arial" w:eastAsia="Calibri" w:hAnsi="Arial" w:cs="Arial"/>
          <w:color w:val="000000"/>
        </w:rPr>
        <w:t xml:space="preserve"> </w:t>
      </w:r>
      <w:r w:rsidRPr="00BC59FD">
        <w:rPr>
          <w:rFonts w:ascii="Arial" w:eastAsia="Calibri" w:hAnsi="Arial" w:cs="Arial"/>
          <w:color w:val="000000"/>
        </w:rPr>
        <w:t xml:space="preserve">90.a stavka 1. i 2. </w:t>
      </w:r>
      <w:r w:rsidRPr="00BC59FD">
        <w:rPr>
          <w:rFonts w:ascii="Arial" w:hAnsi="Arial" w:cs="Arial"/>
        </w:rPr>
        <w:t>Zakona o lokalnoj i područnoj (regionalnoj) samoupravi (Narodne novine, broj 33/01, 60/01, 129/05, 109/07, 125/08, 36/09, 150/11, 144/12, 19/13, 137/15, 123/17, 98/19, 144/20) propisano</w:t>
      </w:r>
      <w:r>
        <w:rPr>
          <w:rFonts w:ascii="Arial" w:hAnsi="Arial" w:cs="Arial"/>
        </w:rPr>
        <w:t xml:space="preserve"> je da općinski načelnik, gradonačelnik, župan </w:t>
      </w:r>
      <w:r w:rsidRPr="00592544">
        <w:rPr>
          <w:rFonts w:ascii="Arial" w:hAnsi="Arial" w:cs="Arial"/>
        </w:rPr>
        <w:t>i njihovi zamjenici</w:t>
      </w:r>
      <w:r>
        <w:rPr>
          <w:rFonts w:ascii="Arial" w:hAnsi="Arial" w:cs="Arial"/>
        </w:rPr>
        <w:t xml:space="preserve"> </w:t>
      </w:r>
      <w:r w:rsidRPr="00BC59FD">
        <w:rPr>
          <w:rFonts w:ascii="Arial" w:hAnsi="Arial" w:cs="Arial"/>
        </w:rPr>
        <w:t xml:space="preserve">koji dužnost obavljaju profesionalno, za vrijeme profesionalnog obavljanja dužnosti ostvaruju pravo na plaću </w:t>
      </w:r>
      <w:r>
        <w:rPr>
          <w:rFonts w:ascii="Arial" w:hAnsi="Arial" w:cs="Arial"/>
        </w:rPr>
        <w:t xml:space="preserve">kao </w:t>
      </w:r>
      <w:r w:rsidRPr="00BC59FD">
        <w:rPr>
          <w:rFonts w:ascii="Arial" w:hAnsi="Arial" w:cs="Arial"/>
        </w:rPr>
        <w:t xml:space="preserve">i druga prava iz rada, a vrijeme obavljanja dužnosti uračunava im se u staž osiguranja, dok </w:t>
      </w:r>
      <w:r>
        <w:rPr>
          <w:rFonts w:ascii="Arial" w:hAnsi="Arial" w:cs="Arial"/>
        </w:rPr>
        <w:t xml:space="preserve">osobe </w:t>
      </w:r>
      <w:r w:rsidRPr="00BC59FD">
        <w:rPr>
          <w:rFonts w:ascii="Arial" w:hAnsi="Arial" w:cs="Arial"/>
        </w:rPr>
        <w:t xml:space="preserve">koje dužnost obavljaju volonterski imaju pravo na naknadu za rad. Odredbom stavka 3. istoga članka propisano je da se osnovna mjerila za određivanje plaće, odnosno naknade za rad kao i druga prava vezana uz profesionalno obnašanje dužnosti </w:t>
      </w:r>
      <w:r>
        <w:rPr>
          <w:rFonts w:ascii="Arial" w:hAnsi="Arial" w:cs="Arial"/>
        </w:rPr>
        <w:t xml:space="preserve">općinskog načelnika, gradonačelnika, župana i njihovih </w:t>
      </w:r>
      <w:r w:rsidRPr="00592544">
        <w:rPr>
          <w:rFonts w:ascii="Arial" w:hAnsi="Arial" w:cs="Arial"/>
        </w:rPr>
        <w:t>zamjeni</w:t>
      </w:r>
      <w:r>
        <w:rPr>
          <w:rFonts w:ascii="Arial" w:hAnsi="Arial" w:cs="Arial"/>
        </w:rPr>
        <w:t xml:space="preserve">ka </w:t>
      </w:r>
      <w:r w:rsidRPr="00BC59FD">
        <w:rPr>
          <w:rFonts w:ascii="Arial" w:hAnsi="Arial" w:cs="Arial"/>
        </w:rPr>
        <w:t>određuju posebnim zakonom.</w:t>
      </w:r>
      <w:r>
        <w:rPr>
          <w:rFonts w:ascii="Arial" w:hAnsi="Arial" w:cs="Arial"/>
        </w:rPr>
        <w:t xml:space="preserve"> </w:t>
      </w:r>
      <w:r w:rsidRPr="00BC59FD">
        <w:rPr>
          <w:rFonts w:ascii="Arial" w:hAnsi="Arial" w:cs="Arial"/>
        </w:rPr>
        <w:t>Zakonom o plaćama u lokalnoj i područnoj (regionalnoj) samoupravi (Narodne novine, broj 28/10, 10/23) propisano je da</w:t>
      </w:r>
      <w:r>
        <w:rPr>
          <w:rFonts w:ascii="Arial" w:hAnsi="Arial" w:cs="Arial"/>
        </w:rPr>
        <w:t xml:space="preserve"> p</w:t>
      </w:r>
      <w:r w:rsidRPr="00BC59FD">
        <w:rPr>
          <w:rFonts w:ascii="Arial" w:hAnsi="Arial" w:cs="Arial"/>
        </w:rPr>
        <w:t>laću župana, gradonačelnika i općinskih načelnika i njihovih zamjenika čini umnožak koeficijenta i osnovice za obračun plaće, uvećan za 0,5% za svaku navršenu godinu radnog staža, ukupno najviše za 20%.</w:t>
      </w:r>
      <w:r>
        <w:rPr>
          <w:rFonts w:ascii="Arial" w:hAnsi="Arial" w:cs="Arial"/>
        </w:rPr>
        <w:t xml:space="preserve"> Odredbom članka 3. Zakona o plaćama </w:t>
      </w:r>
      <w:r w:rsidRPr="00BC59FD">
        <w:rPr>
          <w:rFonts w:ascii="Arial" w:hAnsi="Arial" w:cs="Arial"/>
        </w:rPr>
        <w:t>u lokalnoj i područnoj (regionalnoj) samoupravi</w:t>
      </w:r>
      <w:r>
        <w:rPr>
          <w:rFonts w:ascii="Arial" w:hAnsi="Arial" w:cs="Arial"/>
        </w:rPr>
        <w:t xml:space="preserve"> propisano je da o</w:t>
      </w:r>
      <w:r w:rsidRPr="00BC59FD">
        <w:rPr>
          <w:rFonts w:ascii="Arial" w:hAnsi="Arial" w:cs="Arial"/>
        </w:rPr>
        <w:t xml:space="preserve">snovicu i koeficijente za obračun plaće </w:t>
      </w:r>
      <w:r w:rsidRPr="00BC59FD">
        <w:rPr>
          <w:rFonts w:ascii="Arial" w:hAnsi="Arial" w:cs="Arial"/>
        </w:rPr>
        <w:lastRenderedPageBreak/>
        <w:t>župana, gradonačelnika i općinskih načelnika i njihovih zamjenika određuje odlukom predstavničko tijelo jedinice lokalne i područne (regionalne) samouprave u kojoj obnašaju dužnost, na prijedlog župana, gradonačelnika, odnosno općinskog načelnika.</w:t>
      </w:r>
      <w:r>
        <w:rPr>
          <w:rFonts w:ascii="Arial" w:hAnsi="Arial" w:cs="Arial"/>
        </w:rPr>
        <w:t xml:space="preserve"> Odredbom članka 6. Zakona o plaćama u lokalnoj i područnoj (regionalnoj) samoupravi propisano je da n</w:t>
      </w:r>
      <w:r w:rsidRPr="00BC59FD">
        <w:rPr>
          <w:rFonts w:ascii="Arial" w:hAnsi="Arial" w:cs="Arial"/>
        </w:rPr>
        <w:t>aknade za rad župana,</w:t>
      </w:r>
      <w:r>
        <w:rPr>
          <w:rFonts w:ascii="Arial" w:hAnsi="Arial" w:cs="Arial"/>
        </w:rPr>
        <w:t xml:space="preserve"> </w:t>
      </w:r>
      <w:r w:rsidRPr="00BC59FD">
        <w:rPr>
          <w:rFonts w:ascii="Arial" w:hAnsi="Arial" w:cs="Arial"/>
        </w:rPr>
        <w:t>gradonačelnika</w:t>
      </w:r>
      <w:r>
        <w:rPr>
          <w:rFonts w:ascii="Arial" w:hAnsi="Arial" w:cs="Arial"/>
        </w:rPr>
        <w:t xml:space="preserve"> i </w:t>
      </w:r>
      <w:r w:rsidRPr="00BC59FD">
        <w:rPr>
          <w:rFonts w:ascii="Arial" w:hAnsi="Arial" w:cs="Arial"/>
        </w:rPr>
        <w:t>općinskih načelnika i njihovih zamjenika, koji dužnost obnašaju bez zasnivanja radnog odnosa, mogu iznositi najviše do 50% umnoška koeficijenta za obračun plaće odgovarajućeg nositelja dužnosti koji dužnost obavlja profesionalno i osnovice za obračun plaće</w:t>
      </w:r>
      <w:r>
        <w:rPr>
          <w:rFonts w:ascii="Arial" w:hAnsi="Arial" w:cs="Arial"/>
        </w:rPr>
        <w:t xml:space="preserve"> te da o</w:t>
      </w:r>
      <w:r w:rsidRPr="00BC59FD">
        <w:rPr>
          <w:rFonts w:ascii="Arial" w:hAnsi="Arial" w:cs="Arial"/>
        </w:rPr>
        <w:t>dluku o visini naknade za rad</w:t>
      </w:r>
      <w:r>
        <w:rPr>
          <w:rFonts w:ascii="Arial" w:hAnsi="Arial" w:cs="Arial"/>
        </w:rPr>
        <w:t xml:space="preserve"> </w:t>
      </w:r>
      <w:r w:rsidRPr="00BC59FD">
        <w:rPr>
          <w:rFonts w:ascii="Arial" w:hAnsi="Arial" w:cs="Arial"/>
        </w:rPr>
        <w:t>donosi predstavničko tijelo jedinice lokalne i područne (regionalne) samouprav</w:t>
      </w:r>
      <w:r>
        <w:rPr>
          <w:rFonts w:ascii="Arial" w:hAnsi="Arial" w:cs="Arial"/>
        </w:rPr>
        <w:t xml:space="preserve">e </w:t>
      </w:r>
      <w:r w:rsidRPr="00BC59FD">
        <w:rPr>
          <w:rFonts w:ascii="Arial" w:hAnsi="Arial" w:cs="Arial"/>
        </w:rPr>
        <w:t>u kojoj obnašaju</w:t>
      </w:r>
      <w:r>
        <w:rPr>
          <w:rFonts w:ascii="Arial" w:hAnsi="Arial" w:cs="Arial"/>
        </w:rPr>
        <w:t xml:space="preserve"> dužnost.</w:t>
      </w:r>
    </w:p>
    <w:p w14:paraId="403C108E" w14:textId="0947B1FF" w:rsidR="006679EF" w:rsidRDefault="006679EF" w:rsidP="006679EF">
      <w:pPr>
        <w:spacing w:after="160" w:line="259" w:lineRule="auto"/>
        <w:jc w:val="both"/>
        <w:rPr>
          <w:rFonts w:ascii="Arial" w:hAnsi="Arial" w:cs="Arial"/>
          <w:lang w:eastAsia="en-US"/>
        </w:rPr>
      </w:pPr>
      <w:r>
        <w:rPr>
          <w:rFonts w:ascii="Arial" w:hAnsi="Arial" w:cs="Arial"/>
        </w:rPr>
        <w:t>Gradsko vijeće Grada Ivanić-Grada je na 3. sjednici, održanoj 27. kolovoza 20</w:t>
      </w:r>
      <w:r w:rsidR="003A4584">
        <w:rPr>
          <w:rFonts w:ascii="Arial" w:hAnsi="Arial" w:cs="Arial"/>
        </w:rPr>
        <w:t>13</w:t>
      </w:r>
      <w:r>
        <w:rPr>
          <w:rFonts w:ascii="Arial" w:hAnsi="Arial" w:cs="Arial"/>
        </w:rPr>
        <w:t xml:space="preserve">. godine, donijelo Odluku o plaći i drugim pravima iz radnog odnosa gradonačelnika i zamjenika gradonačelnika Grada Ivanić-Grada („Službeni glasnik Grada Ivanić-Grada“, broj 06/13) te na 16. sjednici, održanoj 16. veljače 2023. godine, Odluku o izmjenama Odluke o plaći i drugim pravima iz radnog odnosa gradonačelnika i zamjenika gradonačelnika Grada Ivanić-Grada („Službeni glasnik Grada Ivanić-Grada“, broj 02/23). </w:t>
      </w:r>
      <w:r w:rsidRPr="007D15EF">
        <w:rPr>
          <w:rFonts w:ascii="Arial" w:hAnsi="Arial" w:cs="Arial"/>
        </w:rPr>
        <w:t xml:space="preserve">Odredbom članka 5. Odluke o </w:t>
      </w:r>
      <w:r w:rsidRPr="007D15EF">
        <w:rPr>
          <w:rFonts w:ascii="Arial" w:hAnsi="Arial" w:cs="Arial"/>
          <w:lang w:eastAsia="en-US"/>
        </w:rPr>
        <w:t>plaći i drugim pravima iz radnog odnosa gradonačelnika i zamjenika gradonačelnika</w:t>
      </w:r>
      <w:r>
        <w:rPr>
          <w:rFonts w:ascii="Arial" w:hAnsi="Arial" w:cs="Arial"/>
          <w:lang w:eastAsia="en-US"/>
        </w:rPr>
        <w:t xml:space="preserve"> </w:t>
      </w:r>
      <w:r w:rsidRPr="007D15EF">
        <w:rPr>
          <w:rFonts w:ascii="Arial" w:hAnsi="Arial" w:cs="Arial"/>
          <w:lang w:eastAsia="en-US"/>
        </w:rPr>
        <w:t>Grada</w:t>
      </w:r>
      <w:r>
        <w:rPr>
          <w:rFonts w:ascii="Arial" w:hAnsi="Arial" w:cs="Arial"/>
          <w:lang w:eastAsia="en-US"/>
        </w:rPr>
        <w:t xml:space="preserve"> </w:t>
      </w:r>
      <w:r w:rsidRPr="007D15EF">
        <w:rPr>
          <w:rFonts w:ascii="Arial" w:hAnsi="Arial" w:cs="Arial"/>
          <w:lang w:eastAsia="en-US"/>
        </w:rPr>
        <w:t>Ivanić-Grad</w:t>
      </w:r>
      <w:r>
        <w:rPr>
          <w:rFonts w:ascii="Arial" w:hAnsi="Arial" w:cs="Arial"/>
          <w:lang w:eastAsia="en-US"/>
        </w:rPr>
        <w:t xml:space="preserve">a propisano je da dužnosnik koji dužnost obavlja profesionalno druga prava iz radnog odnosa ostvaruje u skladu s općim propisima o radu te općim aktima Grada, odnosno aktima koji se primjenjuju na službenike i namještenike u gradskim upravnim tijelima, ako zakonom nije drukčije propisano. Navedena odredba članka 5. </w:t>
      </w:r>
      <w:r w:rsidRPr="007D15EF">
        <w:rPr>
          <w:rFonts w:ascii="Arial" w:hAnsi="Arial" w:cs="Arial"/>
        </w:rPr>
        <w:t xml:space="preserve">Odluke o </w:t>
      </w:r>
      <w:r w:rsidRPr="007D15EF">
        <w:rPr>
          <w:rFonts w:ascii="Arial" w:hAnsi="Arial" w:cs="Arial"/>
          <w:lang w:eastAsia="en-US"/>
        </w:rPr>
        <w:t>plaći i drugim pravima iz radnog odnosa gradonačelnika i zamjenika gradonačelnika Grada Ivanić-Grada</w:t>
      </w:r>
      <w:r>
        <w:rPr>
          <w:rFonts w:ascii="Arial" w:hAnsi="Arial" w:cs="Arial"/>
          <w:lang w:eastAsia="en-US"/>
        </w:rPr>
        <w:t xml:space="preserve"> nije u skladu s odredbom članka 90.a stavka 3. Zakona o lokalnoj i područnoj (regionalnoj) samoupravi koja propisuje da se mjerila za određivanje plaće, odnosno naknade za rad, kao i druga prava vezana uz profesionalno obnašanje dužnosti </w:t>
      </w:r>
      <w:bookmarkStart w:id="1" w:name="_Hlk145073513"/>
      <w:r w:rsidRPr="00A2150A">
        <w:rPr>
          <w:rFonts w:ascii="Arial" w:hAnsi="Arial" w:cs="Arial"/>
          <w:lang w:eastAsia="en-US"/>
        </w:rPr>
        <w:t xml:space="preserve">općinskog načelnika, gradonačelnika, odnosno župana i njihovih zamjenika </w:t>
      </w:r>
      <w:bookmarkEnd w:id="1"/>
      <w:r w:rsidRPr="00A2150A">
        <w:rPr>
          <w:rFonts w:ascii="Arial" w:hAnsi="Arial" w:cs="Arial"/>
          <w:lang w:eastAsia="en-US"/>
        </w:rPr>
        <w:t>određuju</w:t>
      </w:r>
      <w:r>
        <w:rPr>
          <w:rFonts w:ascii="Arial" w:hAnsi="Arial" w:cs="Arial"/>
          <w:lang w:eastAsia="en-US"/>
        </w:rPr>
        <w:t xml:space="preserve"> </w:t>
      </w:r>
      <w:r w:rsidRPr="00A2150A">
        <w:rPr>
          <w:rFonts w:ascii="Arial" w:hAnsi="Arial" w:cs="Arial"/>
          <w:lang w:eastAsia="en-US"/>
        </w:rPr>
        <w:t>posebnim zakonom</w:t>
      </w:r>
      <w:r>
        <w:rPr>
          <w:rFonts w:ascii="Arial" w:hAnsi="Arial" w:cs="Arial"/>
          <w:lang w:eastAsia="en-US"/>
        </w:rPr>
        <w:t xml:space="preserve">. Odredbama navedenog Zakona propisano je da za vrijeme profesionalnog obavljanja dužnosti općinski načelnik, gradonačelnik, odnosno župan i njihovi zamjenici, ostvaruju pravo na plaću, odnosno naknadu plaće, kao i druga prava iz rada, a vrijeme obavljanja dužnosti uračunava im se u staž osiguranja. Međutim, važeći zakoni koji uređuju prava, obveze i odgovornosti lokalnih dužnosnika, prvenstveno Zakon o lokalnoj i područnoj (regionalnoj) samoupravi i Zakon o plaćama u lokalnoj i područnoj (regionalnoj) samoupravi, osim prava na plaću </w:t>
      </w:r>
      <w:r w:rsidRPr="00A2150A">
        <w:rPr>
          <w:rFonts w:ascii="Arial" w:hAnsi="Arial" w:cs="Arial"/>
          <w:lang w:eastAsia="en-US"/>
        </w:rPr>
        <w:t>općinskog načelnika, gradonačelnika, odnosno župana i njihovih zamjenika</w:t>
      </w:r>
      <w:r>
        <w:rPr>
          <w:rFonts w:ascii="Arial" w:hAnsi="Arial" w:cs="Arial"/>
          <w:lang w:eastAsia="en-US"/>
        </w:rPr>
        <w:t>, odnosno prava na naknadu za rad bez zasnivanja radnog odnos</w:t>
      </w:r>
      <w:r w:rsidR="003A4584">
        <w:rPr>
          <w:rFonts w:ascii="Arial" w:hAnsi="Arial" w:cs="Arial"/>
          <w:lang w:eastAsia="en-US"/>
        </w:rPr>
        <w:t xml:space="preserve">a </w:t>
      </w:r>
      <w:r>
        <w:rPr>
          <w:rFonts w:ascii="Arial" w:hAnsi="Arial" w:cs="Arial"/>
          <w:lang w:eastAsia="en-US"/>
        </w:rPr>
        <w:t>i staž osiguranja, ne propisuju druga prava iz rada za lokalne dužnosnike. Nesporno je da lokalni dužnosnici, osim prava na plaću i staž osiguranja, imaju pravo na naknadu stvarnih materijalnih troškova nastalih u vezi s obnašanjem dužnosti kao i neka druga prava</w:t>
      </w:r>
      <w:r w:rsidR="003A4584">
        <w:rPr>
          <w:rFonts w:ascii="Arial" w:hAnsi="Arial" w:cs="Arial"/>
          <w:lang w:eastAsia="en-US"/>
        </w:rPr>
        <w:t xml:space="preserve">, </w:t>
      </w:r>
      <w:r>
        <w:rPr>
          <w:rFonts w:ascii="Arial" w:hAnsi="Arial" w:cs="Arial"/>
          <w:lang w:eastAsia="en-US"/>
        </w:rPr>
        <w:t xml:space="preserve">npr. pravo na korištenje službenog automobila, računala i mobitela. Takva prava lokalnih dužnosnika u vezi s obnašanjem dužnosti treba urediti općim aktom koje donosi predstavničko tijelo jedinice lokalne i područne (regionalne) samouprave u kojoj obnašaju dužnost. Slijedom navedenoga, odredbu članka 5. </w:t>
      </w:r>
      <w:r w:rsidRPr="007D15EF">
        <w:rPr>
          <w:rFonts w:ascii="Arial" w:hAnsi="Arial" w:cs="Arial"/>
        </w:rPr>
        <w:t xml:space="preserve">Odluke o </w:t>
      </w:r>
      <w:r w:rsidRPr="007D15EF">
        <w:rPr>
          <w:rFonts w:ascii="Arial" w:hAnsi="Arial" w:cs="Arial"/>
          <w:lang w:eastAsia="en-US"/>
        </w:rPr>
        <w:t>plaći i drugim pravima iz radnog odnosa gradonačelnika i zamjenika gradonačelnika Grada Ivanić-Grada</w:t>
      </w:r>
      <w:r>
        <w:rPr>
          <w:rFonts w:ascii="Arial" w:hAnsi="Arial" w:cs="Arial"/>
          <w:lang w:eastAsia="en-US"/>
        </w:rPr>
        <w:t xml:space="preserve"> bilo je potrebno uskladiti s važećim zakonima koji uređuju prava, obveze i odgovornosti lokalnih dužnosnika vodeći pritom računa o zabrani primitka dodatne naknade za </w:t>
      </w:r>
      <w:r>
        <w:rPr>
          <w:rFonts w:ascii="Arial" w:hAnsi="Arial" w:cs="Arial"/>
          <w:lang w:eastAsia="en-US"/>
        </w:rPr>
        <w:lastRenderedPageBreak/>
        <w:t xml:space="preserve">poslove obnašanja javnih dužnosti iz članka 7. točke d) Zakona o sprječavanju sukoba interesa („Narodne novine“, broj </w:t>
      </w:r>
      <w:r w:rsidRPr="00396A87">
        <w:rPr>
          <w:rFonts w:ascii="Arial" w:hAnsi="Arial" w:cs="Arial"/>
          <w:lang w:eastAsia="en-US"/>
        </w:rPr>
        <w:t>143/21</w:t>
      </w:r>
      <w:r>
        <w:rPr>
          <w:rFonts w:ascii="Arial" w:hAnsi="Arial" w:cs="Arial"/>
          <w:lang w:eastAsia="en-US"/>
        </w:rPr>
        <w:t>), a sukladno smjernicama Povjerenstva za odlučivanje o sukobu interesa o zabrani primitka dodatne naknade.</w:t>
      </w:r>
    </w:p>
    <w:p w14:paraId="5B53F04D" w14:textId="77777777" w:rsidR="006679EF" w:rsidRDefault="006679EF" w:rsidP="006679EF">
      <w:pPr>
        <w:shd w:val="clear" w:color="auto" w:fill="FFFFFF"/>
        <w:tabs>
          <w:tab w:val="left" w:pos="426"/>
          <w:tab w:val="left" w:pos="8647"/>
        </w:tabs>
        <w:spacing w:line="276" w:lineRule="auto"/>
        <w:jc w:val="both"/>
        <w:rPr>
          <w:rFonts w:ascii="Arial" w:hAnsi="Arial" w:cs="Arial"/>
          <w:lang w:eastAsia="en-US"/>
        </w:rPr>
      </w:pPr>
      <w:r>
        <w:rPr>
          <w:rFonts w:ascii="Arial" w:eastAsia="Calibri" w:hAnsi="Arial" w:cs="Arial"/>
          <w:color w:val="000000"/>
        </w:rPr>
        <w:t>Sredstva za provedbu ove Odluke osigurana su u proračunu Grada Ivanić-Grada za 2023. godinu.</w:t>
      </w:r>
    </w:p>
    <w:p w14:paraId="3E369636" w14:textId="77777777" w:rsidR="006679EF" w:rsidRDefault="006679EF" w:rsidP="006679EF">
      <w:pPr>
        <w:shd w:val="clear" w:color="auto" w:fill="FFFFFF"/>
        <w:tabs>
          <w:tab w:val="left" w:pos="426"/>
          <w:tab w:val="left" w:pos="8647"/>
        </w:tabs>
        <w:spacing w:line="276" w:lineRule="auto"/>
        <w:jc w:val="both"/>
        <w:rPr>
          <w:rFonts w:ascii="Arial" w:eastAsia="Calibri" w:hAnsi="Arial" w:cs="Arial"/>
          <w:color w:val="000000"/>
        </w:rPr>
      </w:pPr>
    </w:p>
    <w:p w14:paraId="2EB2A527" w14:textId="77777777" w:rsidR="006679EF" w:rsidRDefault="006679EF" w:rsidP="006679EF">
      <w:pPr>
        <w:pStyle w:val="Default"/>
        <w:tabs>
          <w:tab w:val="left" w:pos="5685"/>
        </w:tabs>
      </w:pPr>
    </w:p>
    <w:p w14:paraId="16769752" w14:textId="77777777" w:rsidR="006679EF" w:rsidRDefault="006679EF" w:rsidP="006679EF">
      <w:pPr>
        <w:pStyle w:val="Default"/>
        <w:tabs>
          <w:tab w:val="left" w:pos="5685"/>
        </w:tabs>
      </w:pPr>
    </w:p>
    <w:p w14:paraId="5E97E992" w14:textId="77777777" w:rsidR="006679EF" w:rsidRDefault="006679EF" w:rsidP="006679EF">
      <w:pPr>
        <w:pStyle w:val="Default"/>
        <w:tabs>
          <w:tab w:val="left" w:pos="5685"/>
        </w:tabs>
      </w:pPr>
    </w:p>
    <w:p w14:paraId="04E87C81" w14:textId="77777777" w:rsidR="006679EF" w:rsidRDefault="006679EF" w:rsidP="006679EF">
      <w:pPr>
        <w:pStyle w:val="Default"/>
        <w:tabs>
          <w:tab w:val="left" w:pos="5685"/>
        </w:tabs>
      </w:pPr>
    </w:p>
    <w:p w14:paraId="65FD1B01" w14:textId="77777777" w:rsidR="006679EF" w:rsidRDefault="006679EF" w:rsidP="006679EF">
      <w:pPr>
        <w:pStyle w:val="Default"/>
        <w:tabs>
          <w:tab w:val="left" w:pos="5685"/>
        </w:tabs>
      </w:pPr>
    </w:p>
    <w:p w14:paraId="3A01F3C5" w14:textId="77777777" w:rsidR="006679EF" w:rsidRDefault="006679EF" w:rsidP="006679EF">
      <w:pPr>
        <w:pStyle w:val="Default"/>
        <w:tabs>
          <w:tab w:val="left" w:pos="5685"/>
        </w:tabs>
      </w:pPr>
    </w:p>
    <w:p w14:paraId="77F19073" w14:textId="77777777" w:rsidR="006679EF" w:rsidRDefault="006679EF" w:rsidP="006679EF">
      <w:pPr>
        <w:pStyle w:val="Default"/>
        <w:tabs>
          <w:tab w:val="left" w:pos="5685"/>
        </w:tabs>
      </w:pPr>
    </w:p>
    <w:p w14:paraId="093F7B59" w14:textId="77777777" w:rsidR="006679EF" w:rsidRDefault="006679EF" w:rsidP="006679EF">
      <w:pPr>
        <w:pStyle w:val="Default"/>
        <w:tabs>
          <w:tab w:val="left" w:pos="5685"/>
        </w:tabs>
      </w:pPr>
    </w:p>
    <w:p w14:paraId="636BCAA4" w14:textId="77777777" w:rsidR="006679EF" w:rsidRDefault="006679EF" w:rsidP="006679EF">
      <w:pPr>
        <w:pStyle w:val="Default"/>
        <w:tabs>
          <w:tab w:val="left" w:pos="5685"/>
        </w:tabs>
      </w:pPr>
    </w:p>
    <w:p w14:paraId="3949D018" w14:textId="77777777" w:rsidR="006679EF" w:rsidRDefault="006679EF" w:rsidP="006679EF">
      <w:pPr>
        <w:pStyle w:val="Default"/>
        <w:tabs>
          <w:tab w:val="left" w:pos="5685"/>
        </w:tabs>
      </w:pPr>
    </w:p>
    <w:p w14:paraId="5FC0EC61" w14:textId="77777777" w:rsidR="006679EF" w:rsidRDefault="006679EF" w:rsidP="006679EF">
      <w:pPr>
        <w:pStyle w:val="Default"/>
        <w:tabs>
          <w:tab w:val="left" w:pos="5685"/>
        </w:tabs>
      </w:pPr>
    </w:p>
    <w:p w14:paraId="07391FE8" w14:textId="77777777" w:rsidR="006679EF" w:rsidRDefault="006679EF" w:rsidP="006679EF">
      <w:pPr>
        <w:pStyle w:val="Default"/>
        <w:tabs>
          <w:tab w:val="left" w:pos="5685"/>
        </w:tabs>
      </w:pPr>
    </w:p>
    <w:p w14:paraId="3589B284" w14:textId="77777777" w:rsidR="006679EF" w:rsidRDefault="006679EF" w:rsidP="006679EF">
      <w:pPr>
        <w:pStyle w:val="Default"/>
        <w:tabs>
          <w:tab w:val="left" w:pos="5685"/>
        </w:tabs>
      </w:pPr>
    </w:p>
    <w:p w14:paraId="7E92445F" w14:textId="77777777" w:rsidR="006679EF" w:rsidRDefault="006679EF" w:rsidP="006679EF">
      <w:pPr>
        <w:pStyle w:val="Default"/>
        <w:tabs>
          <w:tab w:val="left" w:pos="5685"/>
        </w:tabs>
      </w:pPr>
    </w:p>
    <w:p w14:paraId="4C55E939" w14:textId="77777777" w:rsidR="006679EF" w:rsidRDefault="006679EF" w:rsidP="006679EF">
      <w:pPr>
        <w:pStyle w:val="Default"/>
        <w:tabs>
          <w:tab w:val="left" w:pos="5685"/>
        </w:tabs>
      </w:pPr>
    </w:p>
    <w:p w14:paraId="16E0FB2A" w14:textId="77777777" w:rsidR="006679EF" w:rsidRDefault="006679EF" w:rsidP="006679EF"/>
    <w:p w14:paraId="50102A5C" w14:textId="77777777" w:rsidR="006679EF" w:rsidRDefault="006679EF" w:rsidP="006679EF"/>
    <w:p w14:paraId="1735FCCB" w14:textId="77777777" w:rsidR="006679EF" w:rsidRDefault="006679EF" w:rsidP="006679EF"/>
    <w:p w14:paraId="0D2FA468" w14:textId="77777777" w:rsidR="006679EF" w:rsidRDefault="006679EF" w:rsidP="006679EF"/>
    <w:p w14:paraId="77C2E725" w14:textId="77777777" w:rsidR="006679EF" w:rsidRDefault="006679EF" w:rsidP="006679EF">
      <w:pPr>
        <w:autoSpaceDE w:val="0"/>
        <w:autoSpaceDN w:val="0"/>
        <w:adjustRightInd w:val="0"/>
        <w:jc w:val="both"/>
        <w:rPr>
          <w:rFonts w:ascii="Arial" w:hAnsi="Arial" w:cs="Arial"/>
          <w:color w:val="000000"/>
        </w:rPr>
      </w:pPr>
    </w:p>
    <w:p w14:paraId="0B2A6D95" w14:textId="77777777" w:rsidR="006679EF" w:rsidRDefault="006679EF" w:rsidP="006679EF">
      <w:pPr>
        <w:autoSpaceDE w:val="0"/>
        <w:autoSpaceDN w:val="0"/>
        <w:adjustRightInd w:val="0"/>
        <w:jc w:val="center"/>
        <w:rPr>
          <w:rFonts w:ascii="Arial" w:hAnsi="Arial" w:cs="Arial"/>
          <w:color w:val="000000"/>
        </w:rPr>
      </w:pPr>
    </w:p>
    <w:p w14:paraId="75BA9969" w14:textId="77777777" w:rsidR="006679EF" w:rsidRDefault="006679EF" w:rsidP="006679EF">
      <w:pPr>
        <w:autoSpaceDE w:val="0"/>
        <w:autoSpaceDN w:val="0"/>
        <w:adjustRightInd w:val="0"/>
        <w:jc w:val="center"/>
        <w:rPr>
          <w:rFonts w:ascii="Arial" w:hAnsi="Arial" w:cs="Arial"/>
          <w:color w:val="000000"/>
        </w:rPr>
      </w:pPr>
    </w:p>
    <w:p w14:paraId="129C3866" w14:textId="77777777" w:rsidR="006679EF" w:rsidRDefault="006679EF" w:rsidP="006679EF">
      <w:pPr>
        <w:autoSpaceDE w:val="0"/>
        <w:autoSpaceDN w:val="0"/>
        <w:adjustRightInd w:val="0"/>
        <w:jc w:val="center"/>
        <w:rPr>
          <w:rFonts w:ascii="Arial" w:hAnsi="Arial" w:cs="Arial"/>
          <w:color w:val="000000"/>
        </w:rPr>
      </w:pPr>
    </w:p>
    <w:p w14:paraId="0E2C6039" w14:textId="77777777" w:rsidR="006679EF" w:rsidRDefault="006679EF" w:rsidP="006679EF">
      <w:pPr>
        <w:autoSpaceDE w:val="0"/>
        <w:autoSpaceDN w:val="0"/>
        <w:adjustRightInd w:val="0"/>
        <w:jc w:val="both"/>
        <w:rPr>
          <w:rFonts w:ascii="Arial" w:hAnsi="Arial" w:cs="Arial"/>
          <w:color w:val="000000"/>
        </w:rPr>
      </w:pPr>
    </w:p>
    <w:p w14:paraId="577422E7" w14:textId="77777777" w:rsidR="006679EF" w:rsidRDefault="006679EF" w:rsidP="006679EF">
      <w:pPr>
        <w:autoSpaceDE w:val="0"/>
        <w:autoSpaceDN w:val="0"/>
        <w:adjustRightInd w:val="0"/>
        <w:rPr>
          <w:rFonts w:ascii="Arial" w:hAnsi="Arial" w:cs="Arial"/>
          <w:color w:val="000000"/>
        </w:rPr>
      </w:pPr>
    </w:p>
    <w:p w14:paraId="1D6BDA9A" w14:textId="77777777" w:rsidR="006679EF" w:rsidRDefault="006679EF" w:rsidP="006679EF">
      <w:pPr>
        <w:autoSpaceDE w:val="0"/>
        <w:autoSpaceDN w:val="0"/>
        <w:adjustRightInd w:val="0"/>
        <w:rPr>
          <w:rFonts w:ascii="Arial" w:hAnsi="Arial" w:cs="Arial"/>
          <w:color w:val="000000"/>
        </w:rPr>
      </w:pPr>
    </w:p>
    <w:p w14:paraId="4DAE01E3" w14:textId="77777777" w:rsidR="006679EF" w:rsidRPr="00D96B69" w:rsidRDefault="006679EF" w:rsidP="006679EF">
      <w:pPr>
        <w:autoSpaceDE w:val="0"/>
        <w:autoSpaceDN w:val="0"/>
        <w:adjustRightInd w:val="0"/>
        <w:jc w:val="both"/>
        <w:rPr>
          <w:rFonts w:ascii="Arial" w:hAnsi="Arial" w:cs="Arial"/>
          <w:color w:val="000000"/>
        </w:rPr>
      </w:pPr>
    </w:p>
    <w:p w14:paraId="278B474B" w14:textId="77777777" w:rsidR="006679EF" w:rsidRDefault="006679EF" w:rsidP="006679EF">
      <w:pPr>
        <w:spacing w:after="160" w:line="259" w:lineRule="auto"/>
        <w:jc w:val="both"/>
        <w:rPr>
          <w:rFonts w:ascii="Arial" w:eastAsia="Calibri" w:hAnsi="Arial" w:cs="Arial"/>
          <w:color w:val="000000"/>
        </w:rPr>
      </w:pPr>
    </w:p>
    <w:p w14:paraId="253ADC51" w14:textId="77777777" w:rsidR="006679EF" w:rsidRDefault="006679EF" w:rsidP="006679EF">
      <w:pPr>
        <w:spacing w:after="160" w:line="259" w:lineRule="auto"/>
        <w:jc w:val="both"/>
        <w:rPr>
          <w:rFonts w:ascii="Arial" w:eastAsia="Calibri" w:hAnsi="Arial" w:cs="Arial"/>
          <w:color w:val="000000"/>
        </w:rPr>
      </w:pPr>
    </w:p>
    <w:p w14:paraId="0EEA68E8" w14:textId="77777777" w:rsidR="00F44557" w:rsidRDefault="00F44557"/>
    <w:p w14:paraId="430E33AF" w14:textId="77777777" w:rsidR="003A4584" w:rsidRDefault="003A4584"/>
    <w:p w14:paraId="7460A101" w14:textId="77777777" w:rsidR="003A4584" w:rsidRDefault="003A4584"/>
    <w:p w14:paraId="368297DB" w14:textId="77777777" w:rsidR="003A4584" w:rsidRDefault="003A4584"/>
    <w:p w14:paraId="21EA9F4A" w14:textId="77777777" w:rsidR="003A4584" w:rsidRDefault="003A4584"/>
    <w:p w14:paraId="752C6A64" w14:textId="77777777" w:rsidR="003A4584" w:rsidRDefault="003A4584"/>
    <w:p w14:paraId="7B705D9A" w14:textId="77777777" w:rsidR="003A4584" w:rsidRDefault="003A4584"/>
    <w:p w14:paraId="1394FD50" w14:textId="77777777" w:rsidR="003A4584" w:rsidRDefault="003A4584"/>
    <w:p w14:paraId="4030A6F8" w14:textId="77777777" w:rsidR="003A4584" w:rsidRDefault="003A4584"/>
    <w:p w14:paraId="10A590FF" w14:textId="77777777" w:rsidR="003A4584" w:rsidRDefault="003A4584"/>
    <w:p w14:paraId="478368C0" w14:textId="77777777" w:rsidR="003A4584" w:rsidRDefault="003A4584"/>
    <w:p w14:paraId="6B29A27F" w14:textId="77777777" w:rsidR="003A4584" w:rsidRDefault="003A4584"/>
    <w:p w14:paraId="1A18F53E" w14:textId="77777777" w:rsidR="003A4584" w:rsidRDefault="003A458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3224"/>
        <w:gridCol w:w="3225"/>
      </w:tblGrid>
      <w:tr w:rsidR="003A4584" w:rsidRPr="003A4584" w14:paraId="2A4C31FB" w14:textId="77777777" w:rsidTr="002F0ED4">
        <w:tblPrEx>
          <w:tblCellMar>
            <w:top w:w="0" w:type="dxa"/>
            <w:bottom w:w="0" w:type="dxa"/>
          </w:tblCellMar>
        </w:tblPrEx>
        <w:trPr>
          <w:trHeight w:val="898"/>
        </w:trPr>
        <w:tc>
          <w:tcPr>
            <w:tcW w:w="9540" w:type="dxa"/>
            <w:gridSpan w:val="3"/>
            <w:shd w:val="clear" w:color="auto" w:fill="33CCCC"/>
            <w:vAlign w:val="center"/>
          </w:tcPr>
          <w:p w14:paraId="629007F3" w14:textId="77777777" w:rsidR="003A4584" w:rsidRPr="003A4584" w:rsidRDefault="003A4584" w:rsidP="003A4584">
            <w:pPr>
              <w:jc w:val="center"/>
              <w:rPr>
                <w:b/>
                <w:noProof/>
              </w:rPr>
            </w:pPr>
            <w:r w:rsidRPr="003A4584">
              <w:rPr>
                <w:b/>
                <w:noProof/>
              </w:rPr>
              <w:lastRenderedPageBreak/>
              <w:t>IZVJEŠĆE</w:t>
            </w:r>
          </w:p>
          <w:p w14:paraId="4A8DD855" w14:textId="77777777" w:rsidR="003A4584" w:rsidRPr="003A4584" w:rsidRDefault="003A4584" w:rsidP="003A4584">
            <w:pPr>
              <w:jc w:val="center"/>
              <w:rPr>
                <w:b/>
                <w:noProof/>
              </w:rPr>
            </w:pPr>
            <w:r w:rsidRPr="003A4584">
              <w:rPr>
                <w:b/>
                <w:noProof/>
              </w:rPr>
              <w:t>O PROVEDENOM SAV</w:t>
            </w:r>
            <w:smartTag w:uri="urn:schemas-microsoft-com:office:smarttags" w:element="stockticker">
              <w:r w:rsidRPr="003A4584">
                <w:rPr>
                  <w:b/>
                  <w:noProof/>
                </w:rPr>
                <w:t>JET</w:t>
              </w:r>
            </w:smartTag>
            <w:r w:rsidRPr="003A4584">
              <w:rPr>
                <w:b/>
                <w:noProof/>
              </w:rPr>
              <w:t>OVANJU SA ZAINTERESIRANOM JAVNOŠĆU</w:t>
            </w:r>
          </w:p>
          <w:p w14:paraId="3EB113AA" w14:textId="77777777" w:rsidR="003A4584" w:rsidRPr="003A4584" w:rsidRDefault="003A4584" w:rsidP="003A4584">
            <w:pPr>
              <w:jc w:val="center"/>
              <w:rPr>
                <w:b/>
                <w:noProof/>
              </w:rPr>
            </w:pPr>
          </w:p>
        </w:tc>
      </w:tr>
      <w:tr w:rsidR="003A4584" w:rsidRPr="003A4584" w14:paraId="5182F53F" w14:textId="77777777" w:rsidTr="002F0ED4">
        <w:tblPrEx>
          <w:tblCellMar>
            <w:top w:w="0" w:type="dxa"/>
            <w:bottom w:w="0" w:type="dxa"/>
          </w:tblCellMar>
        </w:tblPrEx>
        <w:trPr>
          <w:trHeight w:val="690"/>
        </w:trPr>
        <w:tc>
          <w:tcPr>
            <w:tcW w:w="3091" w:type="dxa"/>
            <w:vAlign w:val="center"/>
          </w:tcPr>
          <w:p w14:paraId="48264020" w14:textId="77777777" w:rsidR="003A4584" w:rsidRPr="003A4584" w:rsidRDefault="003A4584" w:rsidP="003A4584">
            <w:pPr>
              <w:jc w:val="center"/>
              <w:rPr>
                <w:noProof/>
                <w:sz w:val="22"/>
                <w:szCs w:val="22"/>
              </w:rPr>
            </w:pPr>
            <w:r w:rsidRPr="003A4584">
              <w:rPr>
                <w:noProof/>
                <w:sz w:val="22"/>
                <w:szCs w:val="22"/>
              </w:rPr>
              <w:t>Naziv dokumenta</w:t>
            </w:r>
          </w:p>
        </w:tc>
        <w:tc>
          <w:tcPr>
            <w:tcW w:w="6449" w:type="dxa"/>
            <w:gridSpan w:val="2"/>
            <w:shd w:val="clear" w:color="auto" w:fill="auto"/>
            <w:vAlign w:val="center"/>
          </w:tcPr>
          <w:p w14:paraId="7E76F293" w14:textId="77777777" w:rsidR="003A4584" w:rsidRPr="003A4584" w:rsidRDefault="003A4584" w:rsidP="003A4584">
            <w:pPr>
              <w:jc w:val="center"/>
              <w:rPr>
                <w:b/>
                <w:noProof/>
                <w:sz w:val="22"/>
                <w:szCs w:val="22"/>
              </w:rPr>
            </w:pPr>
            <w:r w:rsidRPr="003A4584">
              <w:rPr>
                <w:b/>
                <w:noProof/>
                <w:sz w:val="22"/>
                <w:szCs w:val="22"/>
              </w:rPr>
              <w:t>Izvješće o provedenom savjetovanju sa zainteresiranom javnošću o nacrtu Prijedloga Odluke o izmjenama Odluke o plaći i drugim pravima iz radnog odnosa gradonačelnika i zamjenika gradonačelnika Grada Ivanić-Grada</w:t>
            </w:r>
          </w:p>
          <w:p w14:paraId="3444E145" w14:textId="77777777" w:rsidR="003A4584" w:rsidRPr="003A4584" w:rsidRDefault="003A4584" w:rsidP="003A4584">
            <w:pPr>
              <w:jc w:val="center"/>
              <w:rPr>
                <w:b/>
                <w:noProof/>
                <w:sz w:val="22"/>
                <w:szCs w:val="22"/>
              </w:rPr>
            </w:pPr>
            <w:r w:rsidRPr="003A4584">
              <w:rPr>
                <w:b/>
                <w:noProof/>
                <w:sz w:val="22"/>
                <w:szCs w:val="22"/>
              </w:rPr>
              <w:t xml:space="preserve">                    </w:t>
            </w:r>
          </w:p>
        </w:tc>
      </w:tr>
      <w:tr w:rsidR="003A4584" w:rsidRPr="003A4584" w14:paraId="4D1E31B1" w14:textId="77777777" w:rsidTr="002F0ED4">
        <w:tblPrEx>
          <w:tblCellMar>
            <w:top w:w="0" w:type="dxa"/>
            <w:bottom w:w="0" w:type="dxa"/>
          </w:tblCellMar>
        </w:tblPrEx>
        <w:trPr>
          <w:trHeight w:val="690"/>
        </w:trPr>
        <w:tc>
          <w:tcPr>
            <w:tcW w:w="3091" w:type="dxa"/>
            <w:vAlign w:val="center"/>
          </w:tcPr>
          <w:p w14:paraId="28076248" w14:textId="77777777" w:rsidR="003A4584" w:rsidRPr="003A4584" w:rsidRDefault="003A4584" w:rsidP="003A4584">
            <w:pPr>
              <w:ind w:left="180"/>
              <w:jc w:val="center"/>
              <w:rPr>
                <w:noProof/>
                <w:sz w:val="22"/>
                <w:szCs w:val="22"/>
              </w:rPr>
            </w:pPr>
            <w:r w:rsidRPr="003A4584">
              <w:rPr>
                <w:noProof/>
                <w:sz w:val="22"/>
                <w:szCs w:val="22"/>
              </w:rPr>
              <w:t>Stvaratelj dokumenta</w:t>
            </w:r>
          </w:p>
        </w:tc>
        <w:tc>
          <w:tcPr>
            <w:tcW w:w="6449" w:type="dxa"/>
            <w:gridSpan w:val="2"/>
            <w:shd w:val="clear" w:color="auto" w:fill="auto"/>
            <w:vAlign w:val="center"/>
          </w:tcPr>
          <w:p w14:paraId="3E522951" w14:textId="77777777" w:rsidR="003A4584" w:rsidRPr="003A4584" w:rsidRDefault="003A4584" w:rsidP="003A4584">
            <w:pPr>
              <w:jc w:val="center"/>
              <w:rPr>
                <w:b/>
                <w:noProof/>
                <w:sz w:val="22"/>
                <w:szCs w:val="22"/>
              </w:rPr>
            </w:pPr>
            <w:r w:rsidRPr="003A4584">
              <w:rPr>
                <w:b/>
                <w:noProof/>
                <w:sz w:val="22"/>
                <w:szCs w:val="22"/>
              </w:rPr>
              <w:t>Grad Ivanić-Grad</w:t>
            </w:r>
          </w:p>
          <w:p w14:paraId="7107D500" w14:textId="77777777" w:rsidR="003A4584" w:rsidRPr="003A4584" w:rsidRDefault="003A4584" w:rsidP="003A4584">
            <w:pPr>
              <w:jc w:val="center"/>
              <w:rPr>
                <w:b/>
                <w:noProof/>
                <w:sz w:val="22"/>
                <w:szCs w:val="22"/>
              </w:rPr>
            </w:pPr>
            <w:r w:rsidRPr="003A4584">
              <w:rPr>
                <w:b/>
                <w:noProof/>
                <w:sz w:val="22"/>
                <w:szCs w:val="22"/>
              </w:rPr>
              <w:t xml:space="preserve">Upravni odjel za lokalnu samoupravu, pravne poslove i </w:t>
            </w:r>
          </w:p>
          <w:p w14:paraId="54835344" w14:textId="77777777" w:rsidR="003A4584" w:rsidRPr="003A4584" w:rsidRDefault="003A4584" w:rsidP="003A4584">
            <w:pPr>
              <w:jc w:val="center"/>
              <w:rPr>
                <w:b/>
                <w:noProof/>
                <w:sz w:val="22"/>
                <w:szCs w:val="22"/>
              </w:rPr>
            </w:pPr>
            <w:r w:rsidRPr="003A4584">
              <w:rPr>
                <w:b/>
                <w:noProof/>
                <w:sz w:val="22"/>
                <w:szCs w:val="22"/>
              </w:rPr>
              <w:t>društvene djelatnosti</w:t>
            </w:r>
          </w:p>
        </w:tc>
      </w:tr>
      <w:tr w:rsidR="003A4584" w:rsidRPr="003A4584" w14:paraId="4EA26BB8" w14:textId="77777777" w:rsidTr="002F0ED4">
        <w:tblPrEx>
          <w:tblCellMar>
            <w:top w:w="0" w:type="dxa"/>
            <w:bottom w:w="0" w:type="dxa"/>
          </w:tblCellMar>
        </w:tblPrEx>
        <w:trPr>
          <w:trHeight w:val="690"/>
        </w:trPr>
        <w:tc>
          <w:tcPr>
            <w:tcW w:w="3091" w:type="dxa"/>
            <w:vAlign w:val="center"/>
          </w:tcPr>
          <w:p w14:paraId="1A6532E9" w14:textId="77777777" w:rsidR="003A4584" w:rsidRPr="003A4584" w:rsidRDefault="003A4584" w:rsidP="003A4584">
            <w:pPr>
              <w:ind w:left="180"/>
              <w:jc w:val="center"/>
              <w:rPr>
                <w:noProof/>
                <w:sz w:val="22"/>
                <w:szCs w:val="22"/>
              </w:rPr>
            </w:pPr>
            <w:r w:rsidRPr="003A4584">
              <w:rPr>
                <w:noProof/>
                <w:sz w:val="22"/>
                <w:szCs w:val="22"/>
              </w:rPr>
              <w:t>Svrha dokumenta</w:t>
            </w:r>
          </w:p>
        </w:tc>
        <w:tc>
          <w:tcPr>
            <w:tcW w:w="6449" w:type="dxa"/>
            <w:gridSpan w:val="2"/>
            <w:shd w:val="clear" w:color="auto" w:fill="auto"/>
            <w:vAlign w:val="center"/>
          </w:tcPr>
          <w:p w14:paraId="375EE5CB" w14:textId="77777777" w:rsidR="003A4584" w:rsidRPr="003A4584" w:rsidRDefault="003A4584" w:rsidP="003A4584">
            <w:pPr>
              <w:jc w:val="center"/>
              <w:rPr>
                <w:noProof/>
                <w:sz w:val="22"/>
                <w:szCs w:val="22"/>
              </w:rPr>
            </w:pPr>
            <w:r w:rsidRPr="003A4584">
              <w:rPr>
                <w:noProof/>
                <w:sz w:val="22"/>
                <w:szCs w:val="22"/>
              </w:rPr>
              <w:t xml:space="preserve">Izvješćivanje o provedenom savjetovanju sa zainteresiranom javnošću o nacrtu Prijedloga Odluke o izmjenama Odluke o plaći i drugim pravima iz radnog odnosa gradonačelnika i zamjenika gradonačelnika Grada Ivanić-Grada                    </w:t>
            </w:r>
          </w:p>
        </w:tc>
      </w:tr>
      <w:tr w:rsidR="003A4584" w:rsidRPr="003A4584" w14:paraId="33674F21" w14:textId="77777777" w:rsidTr="002F0ED4">
        <w:tblPrEx>
          <w:tblCellMar>
            <w:top w:w="0" w:type="dxa"/>
            <w:bottom w:w="0" w:type="dxa"/>
          </w:tblCellMar>
        </w:tblPrEx>
        <w:trPr>
          <w:trHeight w:val="690"/>
        </w:trPr>
        <w:tc>
          <w:tcPr>
            <w:tcW w:w="3091" w:type="dxa"/>
            <w:vAlign w:val="center"/>
          </w:tcPr>
          <w:p w14:paraId="480B5CEB" w14:textId="77777777" w:rsidR="003A4584" w:rsidRPr="003A4584" w:rsidRDefault="003A4584" w:rsidP="003A4584">
            <w:pPr>
              <w:ind w:left="180"/>
              <w:jc w:val="center"/>
              <w:rPr>
                <w:noProof/>
                <w:sz w:val="22"/>
                <w:szCs w:val="22"/>
              </w:rPr>
            </w:pPr>
            <w:r w:rsidRPr="003A4584">
              <w:rPr>
                <w:noProof/>
                <w:sz w:val="22"/>
                <w:szCs w:val="22"/>
              </w:rPr>
              <w:t>Datum dokumenta</w:t>
            </w:r>
          </w:p>
        </w:tc>
        <w:tc>
          <w:tcPr>
            <w:tcW w:w="6449" w:type="dxa"/>
            <w:gridSpan w:val="2"/>
            <w:shd w:val="clear" w:color="auto" w:fill="auto"/>
            <w:vAlign w:val="center"/>
          </w:tcPr>
          <w:p w14:paraId="76F86C80" w14:textId="77777777" w:rsidR="003A4584" w:rsidRPr="003A4584" w:rsidRDefault="003A4584" w:rsidP="003A4584">
            <w:pPr>
              <w:jc w:val="center"/>
              <w:rPr>
                <w:noProof/>
                <w:sz w:val="22"/>
                <w:szCs w:val="22"/>
              </w:rPr>
            </w:pPr>
            <w:r w:rsidRPr="003A4584">
              <w:rPr>
                <w:noProof/>
                <w:sz w:val="22"/>
                <w:szCs w:val="22"/>
              </w:rPr>
              <w:t>9. listopada 2023.</w:t>
            </w:r>
          </w:p>
        </w:tc>
      </w:tr>
      <w:tr w:rsidR="003A4584" w:rsidRPr="003A4584" w14:paraId="357E1064" w14:textId="77777777" w:rsidTr="002F0ED4">
        <w:tblPrEx>
          <w:tblCellMar>
            <w:top w:w="0" w:type="dxa"/>
            <w:bottom w:w="0" w:type="dxa"/>
          </w:tblCellMar>
        </w:tblPrEx>
        <w:trPr>
          <w:trHeight w:val="690"/>
        </w:trPr>
        <w:tc>
          <w:tcPr>
            <w:tcW w:w="3091" w:type="dxa"/>
            <w:vAlign w:val="center"/>
          </w:tcPr>
          <w:p w14:paraId="1D537CBB" w14:textId="77777777" w:rsidR="003A4584" w:rsidRPr="003A4584" w:rsidRDefault="003A4584" w:rsidP="003A4584">
            <w:pPr>
              <w:ind w:left="180"/>
              <w:jc w:val="center"/>
              <w:rPr>
                <w:noProof/>
                <w:sz w:val="22"/>
                <w:szCs w:val="22"/>
              </w:rPr>
            </w:pPr>
            <w:r w:rsidRPr="003A4584">
              <w:rPr>
                <w:noProof/>
                <w:sz w:val="22"/>
                <w:szCs w:val="22"/>
              </w:rPr>
              <w:t>Verzija dokumenta</w:t>
            </w:r>
          </w:p>
        </w:tc>
        <w:tc>
          <w:tcPr>
            <w:tcW w:w="6449" w:type="dxa"/>
            <w:gridSpan w:val="2"/>
            <w:shd w:val="clear" w:color="auto" w:fill="auto"/>
            <w:vAlign w:val="center"/>
          </w:tcPr>
          <w:p w14:paraId="26E4E04F" w14:textId="77777777" w:rsidR="003A4584" w:rsidRPr="003A4584" w:rsidRDefault="003A4584" w:rsidP="003A4584">
            <w:pPr>
              <w:jc w:val="center"/>
              <w:rPr>
                <w:noProof/>
                <w:sz w:val="22"/>
                <w:szCs w:val="22"/>
              </w:rPr>
            </w:pPr>
            <w:r w:rsidRPr="003A4584">
              <w:rPr>
                <w:noProof/>
                <w:sz w:val="22"/>
                <w:szCs w:val="22"/>
              </w:rPr>
              <w:t>1.</w:t>
            </w:r>
          </w:p>
        </w:tc>
      </w:tr>
      <w:tr w:rsidR="003A4584" w:rsidRPr="003A4584" w14:paraId="71B4BDE3" w14:textId="77777777" w:rsidTr="002F0ED4">
        <w:tblPrEx>
          <w:tblCellMar>
            <w:top w:w="0" w:type="dxa"/>
            <w:bottom w:w="0" w:type="dxa"/>
          </w:tblCellMar>
        </w:tblPrEx>
        <w:trPr>
          <w:trHeight w:val="690"/>
        </w:trPr>
        <w:tc>
          <w:tcPr>
            <w:tcW w:w="3091" w:type="dxa"/>
            <w:vAlign w:val="center"/>
          </w:tcPr>
          <w:p w14:paraId="40479010" w14:textId="77777777" w:rsidR="003A4584" w:rsidRPr="003A4584" w:rsidRDefault="003A4584" w:rsidP="003A4584">
            <w:pPr>
              <w:ind w:left="180"/>
              <w:jc w:val="center"/>
              <w:rPr>
                <w:noProof/>
                <w:sz w:val="22"/>
                <w:szCs w:val="22"/>
              </w:rPr>
            </w:pPr>
            <w:r w:rsidRPr="003A4584">
              <w:rPr>
                <w:noProof/>
                <w:sz w:val="22"/>
                <w:szCs w:val="22"/>
              </w:rPr>
              <w:t>Vrsta dokumenta</w:t>
            </w:r>
          </w:p>
        </w:tc>
        <w:tc>
          <w:tcPr>
            <w:tcW w:w="6449" w:type="dxa"/>
            <w:gridSpan w:val="2"/>
            <w:shd w:val="clear" w:color="auto" w:fill="auto"/>
            <w:vAlign w:val="center"/>
          </w:tcPr>
          <w:p w14:paraId="146E9772" w14:textId="77777777" w:rsidR="003A4584" w:rsidRPr="003A4584" w:rsidRDefault="003A4584" w:rsidP="003A4584">
            <w:pPr>
              <w:jc w:val="center"/>
              <w:rPr>
                <w:noProof/>
                <w:sz w:val="22"/>
                <w:szCs w:val="22"/>
              </w:rPr>
            </w:pPr>
            <w:r w:rsidRPr="003A4584">
              <w:rPr>
                <w:noProof/>
                <w:sz w:val="22"/>
                <w:szCs w:val="22"/>
              </w:rPr>
              <w:t xml:space="preserve">Izvješće </w:t>
            </w:r>
          </w:p>
        </w:tc>
      </w:tr>
      <w:tr w:rsidR="003A4584" w:rsidRPr="003A4584" w14:paraId="57410C39" w14:textId="77777777" w:rsidTr="002F0ED4">
        <w:tblPrEx>
          <w:tblCellMar>
            <w:top w:w="0" w:type="dxa"/>
            <w:bottom w:w="0" w:type="dxa"/>
          </w:tblCellMar>
        </w:tblPrEx>
        <w:trPr>
          <w:trHeight w:val="717"/>
        </w:trPr>
        <w:tc>
          <w:tcPr>
            <w:tcW w:w="3091" w:type="dxa"/>
            <w:vAlign w:val="center"/>
          </w:tcPr>
          <w:p w14:paraId="3DE5A6A0" w14:textId="77777777" w:rsidR="003A4584" w:rsidRPr="003A4584" w:rsidRDefault="003A4584" w:rsidP="003A4584">
            <w:pPr>
              <w:ind w:left="180"/>
              <w:jc w:val="center"/>
              <w:rPr>
                <w:b/>
                <w:noProof/>
                <w:sz w:val="22"/>
                <w:szCs w:val="22"/>
              </w:rPr>
            </w:pPr>
          </w:p>
          <w:p w14:paraId="2E361707" w14:textId="77777777" w:rsidR="003A4584" w:rsidRPr="003A4584" w:rsidRDefault="003A4584" w:rsidP="003A4584">
            <w:pPr>
              <w:ind w:left="180"/>
              <w:jc w:val="center"/>
              <w:rPr>
                <w:noProof/>
                <w:sz w:val="22"/>
                <w:szCs w:val="22"/>
              </w:rPr>
            </w:pPr>
            <w:r w:rsidRPr="003A4584">
              <w:rPr>
                <w:noProof/>
                <w:sz w:val="22"/>
                <w:szCs w:val="22"/>
              </w:rPr>
              <w:t>Naziv tijela nadležnog za izradu nacrta/provedbu savjetovanja</w:t>
            </w:r>
          </w:p>
          <w:p w14:paraId="6C1E2548" w14:textId="77777777" w:rsidR="003A4584" w:rsidRPr="003A4584" w:rsidRDefault="003A4584" w:rsidP="003A4584">
            <w:pPr>
              <w:ind w:left="180"/>
              <w:jc w:val="center"/>
              <w:rPr>
                <w:b/>
                <w:noProof/>
                <w:sz w:val="22"/>
                <w:szCs w:val="22"/>
              </w:rPr>
            </w:pPr>
          </w:p>
        </w:tc>
        <w:tc>
          <w:tcPr>
            <w:tcW w:w="6449" w:type="dxa"/>
            <w:gridSpan w:val="2"/>
            <w:shd w:val="clear" w:color="auto" w:fill="auto"/>
            <w:vAlign w:val="center"/>
          </w:tcPr>
          <w:p w14:paraId="5B892EC5" w14:textId="77777777" w:rsidR="003A4584" w:rsidRPr="003A4584" w:rsidRDefault="003A4584" w:rsidP="003A4584">
            <w:pPr>
              <w:jc w:val="center"/>
              <w:rPr>
                <w:b/>
                <w:noProof/>
                <w:sz w:val="22"/>
                <w:szCs w:val="22"/>
              </w:rPr>
            </w:pPr>
            <w:r w:rsidRPr="003A4584">
              <w:rPr>
                <w:b/>
                <w:noProof/>
                <w:sz w:val="22"/>
                <w:szCs w:val="22"/>
              </w:rPr>
              <w:t>Grad Ivanić-Grad</w:t>
            </w:r>
          </w:p>
          <w:p w14:paraId="38D41FE5" w14:textId="77777777" w:rsidR="003A4584" w:rsidRPr="003A4584" w:rsidRDefault="003A4584" w:rsidP="003A4584">
            <w:pPr>
              <w:jc w:val="center"/>
              <w:rPr>
                <w:b/>
                <w:noProof/>
                <w:sz w:val="22"/>
                <w:szCs w:val="22"/>
              </w:rPr>
            </w:pPr>
            <w:r w:rsidRPr="003A4584">
              <w:rPr>
                <w:b/>
                <w:noProof/>
                <w:sz w:val="22"/>
                <w:szCs w:val="22"/>
              </w:rPr>
              <w:t xml:space="preserve">Upravni odjel za lokalnu samoupravu, pravne poslove i </w:t>
            </w:r>
          </w:p>
          <w:p w14:paraId="3CD87659" w14:textId="77777777" w:rsidR="003A4584" w:rsidRPr="003A4584" w:rsidRDefault="003A4584" w:rsidP="003A4584">
            <w:pPr>
              <w:jc w:val="center"/>
              <w:rPr>
                <w:b/>
                <w:noProof/>
                <w:sz w:val="22"/>
                <w:szCs w:val="22"/>
              </w:rPr>
            </w:pPr>
            <w:r w:rsidRPr="003A4584">
              <w:rPr>
                <w:b/>
                <w:noProof/>
                <w:sz w:val="22"/>
                <w:szCs w:val="22"/>
              </w:rPr>
              <w:t>društvene djelatnosti</w:t>
            </w:r>
          </w:p>
        </w:tc>
      </w:tr>
      <w:tr w:rsidR="003A4584" w:rsidRPr="003A4584" w14:paraId="1EAF3263" w14:textId="77777777" w:rsidTr="002F0ED4">
        <w:tblPrEx>
          <w:tblCellMar>
            <w:top w:w="0" w:type="dxa"/>
            <w:bottom w:w="0" w:type="dxa"/>
          </w:tblCellMar>
        </w:tblPrEx>
        <w:trPr>
          <w:trHeight w:val="694"/>
        </w:trPr>
        <w:tc>
          <w:tcPr>
            <w:tcW w:w="3091" w:type="dxa"/>
            <w:vAlign w:val="center"/>
          </w:tcPr>
          <w:p w14:paraId="757EC304" w14:textId="77777777" w:rsidR="003A4584" w:rsidRPr="003A4584" w:rsidRDefault="003A4584" w:rsidP="003A4584">
            <w:pPr>
              <w:ind w:left="180"/>
              <w:jc w:val="center"/>
              <w:rPr>
                <w:noProof/>
                <w:sz w:val="22"/>
                <w:szCs w:val="22"/>
              </w:rPr>
            </w:pPr>
          </w:p>
          <w:p w14:paraId="1B0C6844" w14:textId="77777777" w:rsidR="003A4584" w:rsidRPr="003A4584" w:rsidRDefault="003A4584" w:rsidP="003A4584">
            <w:pPr>
              <w:ind w:left="180"/>
              <w:jc w:val="center"/>
              <w:rPr>
                <w:noProof/>
                <w:sz w:val="22"/>
                <w:szCs w:val="22"/>
              </w:rPr>
            </w:pPr>
            <w:r w:rsidRPr="003A4584">
              <w:rPr>
                <w:noProof/>
                <w:sz w:val="22"/>
                <w:szCs w:val="22"/>
              </w:rPr>
              <w:t>Razlozi za donošenje akta i ciljevi koji se njime žele postići</w:t>
            </w:r>
          </w:p>
        </w:tc>
        <w:tc>
          <w:tcPr>
            <w:tcW w:w="6449" w:type="dxa"/>
            <w:gridSpan w:val="2"/>
            <w:shd w:val="clear" w:color="auto" w:fill="auto"/>
            <w:vAlign w:val="center"/>
          </w:tcPr>
          <w:p w14:paraId="4608BD43" w14:textId="77777777" w:rsidR="003A4584" w:rsidRPr="003A4584" w:rsidRDefault="003A4584" w:rsidP="003A4584">
            <w:pPr>
              <w:jc w:val="both"/>
              <w:rPr>
                <w:noProof/>
                <w:sz w:val="22"/>
                <w:szCs w:val="22"/>
              </w:rPr>
            </w:pPr>
            <w:r w:rsidRPr="003A4584">
              <w:rPr>
                <w:noProof/>
                <w:sz w:val="22"/>
                <w:szCs w:val="22"/>
              </w:rPr>
              <w:t>Pravni temelj za donošenje ove Odluke su odredbe članka 90.a Zakona o lokalnoj i područnoj (regionalnoj) samoupravi („Narodne novine“, broj 33/01, 60/01, 129/05, 109/07, 125/08, 36/09, 150/11, 144/12, 19/13, 137/15, 123/17, 98/19, 144/20) i članka 3. Zakona o plaćama u lokalnoj i područnoj (regionalnoj) samoupravi („Narodne novine“, broj 28/10, 10/23).</w:t>
            </w:r>
          </w:p>
          <w:p w14:paraId="585194E5" w14:textId="77777777" w:rsidR="003A4584" w:rsidRPr="003A4584" w:rsidRDefault="003A4584" w:rsidP="003A4584">
            <w:pPr>
              <w:jc w:val="both"/>
              <w:rPr>
                <w:noProof/>
                <w:sz w:val="22"/>
                <w:szCs w:val="22"/>
              </w:rPr>
            </w:pPr>
            <w:r w:rsidRPr="003A4584">
              <w:rPr>
                <w:noProof/>
                <w:sz w:val="22"/>
                <w:szCs w:val="22"/>
              </w:rPr>
              <w:t xml:space="preserve">Odredbom članka 90.a stavka 1. i 2. Zakona o lokalnoj i područnoj (regionalnoj) samoupravi („Narodne novine“, broj 33/01, 60/01, 129/05, 109/07, 125/08, 36/09, 150/11, 144/12, 19/13, 137/15, 123/17, 98/19, 144/20) propisano je da općinski načelnik, gradonačelnik, župan i njihovi zamjenici koji dužnost obavljaju profesionalno, za vrijeme profesionalnog obavljanja dužnosti ostvaruju pravo na plaću kao i druga prava iz rada, a vrijeme obavljanja dužnosti uračunava im se u staž osiguranja, dok osobe koje dužnost obavljaju volonterski imaju pravo na naknadu za rad. Odredbom stavka 3. istoga članka propisano je da se osnovna mjerila za određivanje plaće, odnosno naknade za rad kao i druga prava vezana uz profesionalno obnašanje dužnosti općinskog načelnika, gradonačelnika, župana i njihovih zamjenika određuju posebnim zakonom. Zakonom o plaćama u lokalnoj i područnoj (regionalnoj) samoupravi („Narodne novine“, broj 28/10, 10/23) propisano je da plaću župana, gradonačelnika i općinskih načelnika i njihovih zamjenika čini umnožak koeficijenta i osnovice za obračun plaće, uvećan za 0,5% za svaku navršenu godinu radnog staža, ukupno najviše za 20%. Odredbom članka 3. Zakona o plaćama u lokalnoj i područnoj (regionalnoj) samoupravi propisano je da osnovicu i koeficijente za obračun plaće župana, gradonačelnika i općinskih </w:t>
            </w:r>
            <w:r w:rsidRPr="003A4584">
              <w:rPr>
                <w:noProof/>
                <w:sz w:val="22"/>
                <w:szCs w:val="22"/>
              </w:rPr>
              <w:lastRenderedPageBreak/>
              <w:t>načelnika i njihovih zamjenika određuje odlukom predstavničko tijelo jedinice lokalne i područne (regionalne) samouprave u kojoj obnašaju dužnost, na prijedlog župana, gradonačelnika, odnosno općinskog načelnika. Odredbom članka 6. Zakona o plaćama u lokalnoj i područnoj (regionalnoj) samoupravi propisano je da naknade za rad župana, gradonačelnika i općinskih načelnika i njihovih zamjenika, koji dužnost obnašaju bez zasnivanja radnog odnosa, mogu iznositi najviše do 50% umnoška koeficijenta za obračun plaće odgovarajućeg nositelja dužnosti koji dužnost obavlja profesionalno i osnovice za obračun plaće te da odluku o visini naknade za rad donosi predstavničko tijelo jedinice lokalne i područne (regionalne) samouprave u kojoj obnašaju dužnost.</w:t>
            </w:r>
          </w:p>
          <w:p w14:paraId="4CCA0210" w14:textId="77777777" w:rsidR="003A4584" w:rsidRPr="003A4584" w:rsidRDefault="003A4584" w:rsidP="003A4584">
            <w:pPr>
              <w:jc w:val="both"/>
              <w:rPr>
                <w:noProof/>
                <w:sz w:val="22"/>
                <w:szCs w:val="22"/>
              </w:rPr>
            </w:pPr>
            <w:r w:rsidRPr="003A4584">
              <w:rPr>
                <w:noProof/>
                <w:sz w:val="22"/>
                <w:szCs w:val="22"/>
              </w:rPr>
              <w:t xml:space="preserve">Gradsko vijeće Grada Ivanić-Grada je na 3. sjednici, održanoj 27. kolovoza 2013. godine, donijelo Odluku o plaći i drugim pravima iz radnog odnosa gradonačelnika i zamjenika gradonačelnika Grada Ivanić-Grada („Službeni glasnik Grada Ivanić-Grada“, broj 06/13) te na 16. sjednici, održanoj 16. veljače 2023. godine, Odluku o izmjenama Odluke o plaći i drugim pravima iz radnog odnosa gradonačelnika i zamjenika gradonačelnika Grada Ivanić-Grada („Službeni glasnik Grada Ivanić-Grada“, broj 02/23). Odredbom članka 5. Odluke o plaći i drugim pravima iz radnog odnosa gradonačelnika i zamjenika gradonačelnika Grada Ivanić-Grada propisano je da dužnosnik koji dužnost obavlja profesionalno druga prava iz radnog odnosa ostvaruje u skladu s općim propisima o radu te općim aktima Grada, odnosno aktima koji se primjenjuju na službenike i namještenike u gradskim upravnim tijelima, ako zakonom nije drukčije propisano. Navedena odredba članka 5. Odluke o plaći i drugim pravima iz radnog odnosa gradonačelnika i zamjenika gradonačelnika Grada Ivanić-Grada nije u skladu s odredbom članka 90.a stavka 3. Zakona o lokalnoj i područnoj (regionalnoj) samoupravi koja propisuje da se mjerila za određivanje plaće, odnosno naknade za rad, kao i druga prava vezana uz profesionalno obnašanje dužnosti općinskog načelnika, gradonačelnika, odnosno župana i njihovih zamjenika određuju posebnim zakonom. Odredbama navedenog Zakona propisano je da za vrijeme profesionalnog obavljanja dužnosti općinski načelnik, gradonačelnik, odnosno župan i njihovi zamjenici, ostvaruju pravo na plaću, odnosno naknadu plaće, kao i druga prava iz rada, a vrijeme obavljanja dužnosti uračunava im se u staž osiguranja. Međutim, važeći zakoni koji uređuju prava, obveze i odgovornosti lokalnih dužnosnika, prvenstveno Zakon o lokalnoj i područnoj (regionalnoj) samoupravi i Zakon o plaćama u lokalnoj i područnoj (regionalnoj) samoupravi, osim prava na plaću općinskog načelnika, gradonačelnika, odnosno župana i njihovih zamjenika, odnosno prava na naknadu za rad bez zasnivanja radnog odnosa i staž osiguranja, ne propisuju druga prava iz rada za lokalne dužnosnike. Nesporno je da lokalni dužnosnici, osim prava na plaću i staž osiguranja, imaju pravo na naknadu stvarnih materijalnih troškova nastalih u vezi s obnašanjem dužnosti kao i neka druga prava, npr. pravo na korištenje službenog automobila, računala i mobitela. Takva prava lokalnih dužnosnika u vezi s obnašanjem dužnosti treba urediti općim aktom koje donosi predstavničko tijelo jedinice lokalne i područne (regionalne) samouprave u kojoj obnašaju dužnost. Slijedom navedenoga, odredbu članka 5. Odluke o plaći i drugim pravima iz radnog odnosa gradonačelnika i zamjenika gradonačelnika Grada Ivanić-Grada je potrebno uskladiti s važećim zakonima koji uređuju prava, obveze i odgovornosti lokalnih dužnosnika vodeći pritom računa o zabrani primitka dodatne naknade za poslove obnašanja javnih </w:t>
            </w:r>
            <w:r w:rsidRPr="003A4584">
              <w:rPr>
                <w:noProof/>
                <w:sz w:val="22"/>
                <w:szCs w:val="22"/>
              </w:rPr>
              <w:lastRenderedPageBreak/>
              <w:t>dužnosti iz članka 7. točke d) Zakona o sprječavanju sukoba interesa („Narodne novine“, broj 143/21), a sukladno smjernicama Povjerenstva za odlučivanje o sukobu interesa o zabrani primitka dodatne naknade.</w:t>
            </w:r>
          </w:p>
          <w:p w14:paraId="7CBDF6BA" w14:textId="77777777" w:rsidR="003A4584" w:rsidRPr="003A4584" w:rsidRDefault="003A4584" w:rsidP="003A4584">
            <w:pPr>
              <w:jc w:val="both"/>
              <w:rPr>
                <w:noProof/>
                <w:sz w:val="22"/>
                <w:szCs w:val="22"/>
              </w:rPr>
            </w:pPr>
            <w:r w:rsidRPr="003A4584">
              <w:rPr>
                <w:noProof/>
                <w:sz w:val="22"/>
                <w:szCs w:val="22"/>
              </w:rPr>
              <w:t>Sredstva za provedbu ove Odluke osigurana su u proračunu Grada Ivanić-Grada za 2023. godinu.</w:t>
            </w:r>
          </w:p>
        </w:tc>
      </w:tr>
      <w:tr w:rsidR="003A4584" w:rsidRPr="003A4584" w14:paraId="0304EB8B" w14:textId="77777777" w:rsidTr="002F0ED4">
        <w:tblPrEx>
          <w:tblCellMar>
            <w:top w:w="0" w:type="dxa"/>
            <w:bottom w:w="0" w:type="dxa"/>
          </w:tblCellMar>
        </w:tblPrEx>
        <w:trPr>
          <w:trHeight w:val="801"/>
        </w:trPr>
        <w:tc>
          <w:tcPr>
            <w:tcW w:w="3091" w:type="dxa"/>
            <w:vAlign w:val="center"/>
          </w:tcPr>
          <w:p w14:paraId="422CBA56" w14:textId="77777777" w:rsidR="003A4584" w:rsidRPr="003A4584" w:rsidRDefault="003A4584" w:rsidP="003A4584">
            <w:pPr>
              <w:ind w:left="180"/>
              <w:jc w:val="center"/>
              <w:rPr>
                <w:noProof/>
                <w:sz w:val="22"/>
                <w:szCs w:val="22"/>
              </w:rPr>
            </w:pPr>
            <w:r w:rsidRPr="003A4584">
              <w:rPr>
                <w:noProof/>
                <w:sz w:val="22"/>
                <w:szCs w:val="22"/>
              </w:rPr>
              <w:lastRenderedPageBreak/>
              <w:t>Koji su predstavnici zainteresirane javnosti bili uključeni u postupak izrade nacrta?</w:t>
            </w:r>
          </w:p>
        </w:tc>
        <w:tc>
          <w:tcPr>
            <w:tcW w:w="6449" w:type="dxa"/>
            <w:gridSpan w:val="2"/>
            <w:shd w:val="clear" w:color="auto" w:fill="auto"/>
            <w:vAlign w:val="center"/>
          </w:tcPr>
          <w:p w14:paraId="48F53BD3" w14:textId="77777777" w:rsidR="003A4584" w:rsidRPr="003A4584" w:rsidRDefault="003A4584" w:rsidP="003A4584">
            <w:pPr>
              <w:jc w:val="center"/>
              <w:rPr>
                <w:noProof/>
                <w:sz w:val="22"/>
                <w:szCs w:val="22"/>
              </w:rPr>
            </w:pPr>
            <w:r w:rsidRPr="003A4584">
              <w:rPr>
                <w:noProof/>
                <w:sz w:val="22"/>
                <w:szCs w:val="22"/>
              </w:rPr>
              <w:t>-</w:t>
            </w:r>
          </w:p>
        </w:tc>
      </w:tr>
      <w:tr w:rsidR="003A4584" w:rsidRPr="003A4584" w14:paraId="51FAACBE" w14:textId="77777777" w:rsidTr="002F0ED4">
        <w:tblPrEx>
          <w:tblCellMar>
            <w:top w:w="0" w:type="dxa"/>
            <w:bottom w:w="0" w:type="dxa"/>
          </w:tblCellMar>
        </w:tblPrEx>
        <w:trPr>
          <w:trHeight w:val="1013"/>
        </w:trPr>
        <w:tc>
          <w:tcPr>
            <w:tcW w:w="3091" w:type="dxa"/>
            <w:vMerge w:val="restart"/>
            <w:vAlign w:val="center"/>
          </w:tcPr>
          <w:p w14:paraId="6ECCD776" w14:textId="77777777" w:rsidR="003A4584" w:rsidRPr="003A4584" w:rsidRDefault="003A4584" w:rsidP="003A4584">
            <w:pPr>
              <w:ind w:left="180"/>
              <w:jc w:val="center"/>
              <w:rPr>
                <w:noProof/>
                <w:sz w:val="22"/>
                <w:szCs w:val="22"/>
              </w:rPr>
            </w:pPr>
            <w:r w:rsidRPr="003A4584">
              <w:rPr>
                <w:noProof/>
                <w:sz w:val="22"/>
                <w:szCs w:val="22"/>
              </w:rPr>
              <w:t>Je li nacrt bio objavljen na internetskim stranicama ili na drugi odgovarajući način?</w:t>
            </w:r>
          </w:p>
          <w:p w14:paraId="4372AAE7" w14:textId="77777777" w:rsidR="003A4584" w:rsidRPr="003A4584" w:rsidRDefault="003A4584" w:rsidP="003A4584">
            <w:pPr>
              <w:ind w:left="180"/>
              <w:jc w:val="center"/>
              <w:rPr>
                <w:noProof/>
                <w:sz w:val="22"/>
                <w:szCs w:val="22"/>
              </w:rPr>
            </w:pPr>
          </w:p>
          <w:p w14:paraId="21133304" w14:textId="77777777" w:rsidR="003A4584" w:rsidRPr="003A4584" w:rsidRDefault="003A4584" w:rsidP="003A4584">
            <w:pPr>
              <w:ind w:left="180"/>
              <w:jc w:val="center"/>
              <w:rPr>
                <w:noProof/>
                <w:sz w:val="22"/>
                <w:szCs w:val="22"/>
              </w:rPr>
            </w:pPr>
            <w:r w:rsidRPr="003A4584">
              <w:rPr>
                <w:noProof/>
                <w:sz w:val="22"/>
                <w:szCs w:val="22"/>
              </w:rPr>
              <w:t>Ako je, kada je nacrt objavljen, na kojoj internetskoj stranici i koliko je vremena ostavljeno za savjetovanje?</w:t>
            </w:r>
          </w:p>
        </w:tc>
        <w:tc>
          <w:tcPr>
            <w:tcW w:w="6449" w:type="dxa"/>
            <w:gridSpan w:val="2"/>
            <w:shd w:val="clear" w:color="auto" w:fill="auto"/>
            <w:vAlign w:val="center"/>
          </w:tcPr>
          <w:p w14:paraId="7898E4C9" w14:textId="77777777" w:rsidR="003A4584" w:rsidRPr="003A4584" w:rsidRDefault="003A4584" w:rsidP="003A4584">
            <w:pPr>
              <w:jc w:val="center"/>
              <w:rPr>
                <w:noProof/>
                <w:sz w:val="22"/>
                <w:szCs w:val="22"/>
              </w:rPr>
            </w:pPr>
            <w:r w:rsidRPr="003A4584">
              <w:rPr>
                <w:noProof/>
                <w:sz w:val="22"/>
                <w:szCs w:val="22"/>
              </w:rPr>
              <w:t>Nacrt prijedloga Odluke o izmjenama Odluke o plaći i drugim pravima iz radnog odnosa gradonačelnika i zamjenika gradonačelnika Grada Ivanić-Grada bio je objavljen na internetskim stranicama Grada Ivanić-Grada</w:t>
            </w:r>
          </w:p>
          <w:p w14:paraId="1C8DE609" w14:textId="77777777" w:rsidR="003A4584" w:rsidRPr="003A4584" w:rsidRDefault="003A4584" w:rsidP="003A4584">
            <w:pPr>
              <w:jc w:val="center"/>
              <w:rPr>
                <w:noProof/>
                <w:sz w:val="22"/>
                <w:szCs w:val="22"/>
              </w:rPr>
            </w:pPr>
            <w:hyperlink r:id="rId5" w:history="1">
              <w:r w:rsidRPr="003A4584">
                <w:rPr>
                  <w:noProof/>
                  <w:color w:val="0563C1"/>
                  <w:sz w:val="22"/>
                  <w:szCs w:val="22"/>
                  <w:u w:val="single"/>
                </w:rPr>
                <w:t>https://www.ivanic-grad.hr/dokumenti-grada/pravo-na-pristup-informacijama/savjetovanje-u-tijeku/</w:t>
              </w:r>
            </w:hyperlink>
          </w:p>
          <w:p w14:paraId="0ABEBA38" w14:textId="77777777" w:rsidR="003A4584" w:rsidRPr="003A4584" w:rsidRDefault="003A4584" w:rsidP="003A4584">
            <w:pPr>
              <w:rPr>
                <w:noProof/>
                <w:sz w:val="22"/>
                <w:szCs w:val="22"/>
              </w:rPr>
            </w:pPr>
          </w:p>
        </w:tc>
      </w:tr>
      <w:tr w:rsidR="003A4584" w:rsidRPr="003A4584" w14:paraId="684B41A2" w14:textId="77777777" w:rsidTr="002F0ED4">
        <w:tblPrEx>
          <w:tblCellMar>
            <w:top w:w="0" w:type="dxa"/>
            <w:bottom w:w="0" w:type="dxa"/>
          </w:tblCellMar>
        </w:tblPrEx>
        <w:trPr>
          <w:trHeight w:val="1012"/>
        </w:trPr>
        <w:tc>
          <w:tcPr>
            <w:tcW w:w="3091" w:type="dxa"/>
            <w:vMerge/>
            <w:vAlign w:val="center"/>
          </w:tcPr>
          <w:p w14:paraId="18C1C9EB" w14:textId="77777777" w:rsidR="003A4584" w:rsidRPr="003A4584" w:rsidRDefault="003A4584" w:rsidP="003A4584">
            <w:pPr>
              <w:ind w:left="180"/>
              <w:jc w:val="center"/>
              <w:rPr>
                <w:noProof/>
                <w:sz w:val="22"/>
                <w:szCs w:val="22"/>
              </w:rPr>
            </w:pPr>
          </w:p>
        </w:tc>
        <w:tc>
          <w:tcPr>
            <w:tcW w:w="6449" w:type="dxa"/>
            <w:gridSpan w:val="2"/>
            <w:shd w:val="clear" w:color="auto" w:fill="auto"/>
            <w:vAlign w:val="center"/>
          </w:tcPr>
          <w:p w14:paraId="5D6C0E7E" w14:textId="77777777" w:rsidR="003A4584" w:rsidRPr="003A4584" w:rsidRDefault="003A4584" w:rsidP="003A4584">
            <w:pPr>
              <w:jc w:val="center"/>
              <w:rPr>
                <w:noProof/>
                <w:sz w:val="22"/>
                <w:szCs w:val="22"/>
              </w:rPr>
            </w:pPr>
            <w:r w:rsidRPr="003A4584">
              <w:rPr>
                <w:noProof/>
                <w:sz w:val="22"/>
                <w:szCs w:val="22"/>
              </w:rPr>
              <w:t>Nacrt prijedloga Odluke o izmjenama Odluke o plaći i drugim pravima iz radnog odnosa gradonačelnika i zamjenika gradonačelnika Grada Ivanić-Grada bio je objavljen na internetskim stranicama Grada Ivanić-Grada</w:t>
            </w:r>
          </w:p>
          <w:p w14:paraId="1574D49D" w14:textId="77777777" w:rsidR="003A4584" w:rsidRPr="003A4584" w:rsidRDefault="003A4584" w:rsidP="003A4584">
            <w:pPr>
              <w:jc w:val="center"/>
              <w:rPr>
                <w:noProof/>
                <w:sz w:val="22"/>
                <w:szCs w:val="22"/>
              </w:rPr>
            </w:pPr>
            <w:hyperlink r:id="rId6" w:history="1">
              <w:r w:rsidRPr="003A4584">
                <w:rPr>
                  <w:noProof/>
                  <w:color w:val="0563C1"/>
                  <w:sz w:val="22"/>
                  <w:szCs w:val="22"/>
                  <w:u w:val="single"/>
                </w:rPr>
                <w:t>https://www.ivanic-grad.hr/dokumenti-grada/pravo-na-pristup-informacijama/savjetovanje-u-tijeku/</w:t>
              </w:r>
            </w:hyperlink>
          </w:p>
          <w:p w14:paraId="3E0D4089" w14:textId="77777777" w:rsidR="003A4584" w:rsidRPr="003A4584" w:rsidRDefault="003A4584" w:rsidP="003A4584">
            <w:pPr>
              <w:jc w:val="center"/>
              <w:rPr>
                <w:noProof/>
                <w:sz w:val="22"/>
                <w:szCs w:val="22"/>
              </w:rPr>
            </w:pPr>
          </w:p>
          <w:p w14:paraId="1D7195C6" w14:textId="77777777" w:rsidR="003A4584" w:rsidRPr="003A4584" w:rsidRDefault="003A4584" w:rsidP="003A4584">
            <w:pPr>
              <w:jc w:val="center"/>
              <w:rPr>
                <w:b/>
                <w:noProof/>
                <w:sz w:val="22"/>
                <w:szCs w:val="22"/>
              </w:rPr>
            </w:pPr>
            <w:r w:rsidRPr="003A4584">
              <w:rPr>
                <w:b/>
                <w:noProof/>
                <w:sz w:val="22"/>
                <w:szCs w:val="22"/>
              </w:rPr>
              <w:t>Javna rasprava je trajala od 8.09.2023. do 8.10.2023.</w:t>
            </w:r>
          </w:p>
          <w:p w14:paraId="298B83C7" w14:textId="77777777" w:rsidR="003A4584" w:rsidRPr="003A4584" w:rsidRDefault="003A4584" w:rsidP="003A4584">
            <w:pPr>
              <w:jc w:val="center"/>
              <w:rPr>
                <w:b/>
                <w:noProof/>
                <w:sz w:val="22"/>
                <w:szCs w:val="22"/>
              </w:rPr>
            </w:pPr>
          </w:p>
        </w:tc>
      </w:tr>
      <w:tr w:rsidR="003A4584" w:rsidRPr="003A4584" w14:paraId="5727D735" w14:textId="77777777" w:rsidTr="002F0ED4">
        <w:tblPrEx>
          <w:tblCellMar>
            <w:top w:w="0" w:type="dxa"/>
            <w:bottom w:w="0" w:type="dxa"/>
          </w:tblCellMar>
        </w:tblPrEx>
        <w:trPr>
          <w:trHeight w:val="787"/>
        </w:trPr>
        <w:tc>
          <w:tcPr>
            <w:tcW w:w="3091" w:type="dxa"/>
            <w:vAlign w:val="center"/>
          </w:tcPr>
          <w:p w14:paraId="2A21C39D" w14:textId="77777777" w:rsidR="003A4584" w:rsidRPr="003A4584" w:rsidRDefault="003A4584" w:rsidP="003A4584">
            <w:pPr>
              <w:ind w:left="180"/>
              <w:jc w:val="center"/>
              <w:rPr>
                <w:noProof/>
                <w:sz w:val="22"/>
                <w:szCs w:val="22"/>
              </w:rPr>
            </w:pPr>
            <w:r w:rsidRPr="003A4584">
              <w:rPr>
                <w:noProof/>
                <w:sz w:val="22"/>
                <w:szCs w:val="22"/>
              </w:rPr>
              <w:t>Koji su predstavnici zainteresirane javnosti dostavili svoja očitovanja?</w:t>
            </w:r>
          </w:p>
        </w:tc>
        <w:tc>
          <w:tcPr>
            <w:tcW w:w="6449" w:type="dxa"/>
            <w:gridSpan w:val="2"/>
            <w:shd w:val="clear" w:color="auto" w:fill="auto"/>
            <w:vAlign w:val="center"/>
          </w:tcPr>
          <w:p w14:paraId="6C5A16C1" w14:textId="77777777" w:rsidR="003A4584" w:rsidRPr="003A4584" w:rsidRDefault="003A4584" w:rsidP="003A4584">
            <w:pPr>
              <w:jc w:val="center"/>
              <w:rPr>
                <w:noProof/>
                <w:sz w:val="22"/>
                <w:szCs w:val="22"/>
              </w:rPr>
            </w:pPr>
            <w:r w:rsidRPr="003A4584">
              <w:rPr>
                <w:noProof/>
                <w:sz w:val="22"/>
                <w:szCs w:val="22"/>
              </w:rPr>
              <w:t>-</w:t>
            </w:r>
          </w:p>
        </w:tc>
      </w:tr>
      <w:tr w:rsidR="003A4584" w:rsidRPr="003A4584" w14:paraId="5CC3337A" w14:textId="77777777" w:rsidTr="002F0ED4">
        <w:tblPrEx>
          <w:tblCellMar>
            <w:top w:w="0" w:type="dxa"/>
            <w:bottom w:w="0" w:type="dxa"/>
          </w:tblCellMar>
        </w:tblPrEx>
        <w:trPr>
          <w:trHeight w:val="787"/>
        </w:trPr>
        <w:tc>
          <w:tcPr>
            <w:tcW w:w="3091" w:type="dxa"/>
            <w:vAlign w:val="center"/>
          </w:tcPr>
          <w:p w14:paraId="2E77F814" w14:textId="77777777" w:rsidR="003A4584" w:rsidRPr="003A4584" w:rsidRDefault="003A4584" w:rsidP="003A4584">
            <w:pPr>
              <w:ind w:left="180"/>
              <w:jc w:val="center"/>
              <w:rPr>
                <w:noProof/>
                <w:sz w:val="22"/>
                <w:szCs w:val="22"/>
              </w:rPr>
            </w:pPr>
            <w:r w:rsidRPr="003A4584">
              <w:rPr>
                <w:noProof/>
                <w:sz w:val="22"/>
                <w:szCs w:val="22"/>
              </w:rPr>
              <w:t>Pregled prihvaćenih i neprihvaćenih mišljenja i prijedloga s obrazloženjem razloga za neprihvaćanje</w:t>
            </w:r>
          </w:p>
        </w:tc>
        <w:tc>
          <w:tcPr>
            <w:tcW w:w="6449" w:type="dxa"/>
            <w:gridSpan w:val="2"/>
            <w:shd w:val="clear" w:color="auto" w:fill="auto"/>
            <w:vAlign w:val="center"/>
          </w:tcPr>
          <w:p w14:paraId="4B74D95A" w14:textId="77777777" w:rsidR="003A4584" w:rsidRPr="003A4584" w:rsidRDefault="003A4584" w:rsidP="003A4584">
            <w:pPr>
              <w:jc w:val="center"/>
              <w:rPr>
                <w:noProof/>
                <w:sz w:val="22"/>
                <w:szCs w:val="22"/>
              </w:rPr>
            </w:pPr>
            <w:r w:rsidRPr="003A4584">
              <w:rPr>
                <w:noProof/>
                <w:sz w:val="22"/>
                <w:szCs w:val="22"/>
              </w:rPr>
              <w:t>-</w:t>
            </w:r>
          </w:p>
        </w:tc>
      </w:tr>
      <w:tr w:rsidR="003A4584" w:rsidRPr="003A4584" w14:paraId="4B8452C5" w14:textId="77777777" w:rsidTr="002F0ED4">
        <w:tblPrEx>
          <w:tblCellMar>
            <w:top w:w="0" w:type="dxa"/>
            <w:bottom w:w="0" w:type="dxa"/>
          </w:tblCellMar>
        </w:tblPrEx>
        <w:trPr>
          <w:trHeight w:val="787"/>
        </w:trPr>
        <w:tc>
          <w:tcPr>
            <w:tcW w:w="3091" w:type="dxa"/>
            <w:vAlign w:val="center"/>
          </w:tcPr>
          <w:p w14:paraId="479AAABC" w14:textId="77777777" w:rsidR="003A4584" w:rsidRPr="003A4584" w:rsidRDefault="003A4584" w:rsidP="003A4584">
            <w:pPr>
              <w:ind w:left="180"/>
              <w:jc w:val="center"/>
              <w:rPr>
                <w:noProof/>
                <w:sz w:val="22"/>
                <w:szCs w:val="22"/>
              </w:rPr>
            </w:pPr>
            <w:r w:rsidRPr="003A4584">
              <w:rPr>
                <w:noProof/>
                <w:sz w:val="22"/>
                <w:szCs w:val="22"/>
              </w:rPr>
              <w:t>Troškovi provedenog savjetovanja</w:t>
            </w:r>
          </w:p>
        </w:tc>
        <w:tc>
          <w:tcPr>
            <w:tcW w:w="6449" w:type="dxa"/>
            <w:gridSpan w:val="2"/>
            <w:shd w:val="clear" w:color="auto" w:fill="auto"/>
            <w:vAlign w:val="center"/>
          </w:tcPr>
          <w:p w14:paraId="1394B8DB" w14:textId="77777777" w:rsidR="003A4584" w:rsidRPr="003A4584" w:rsidRDefault="003A4584" w:rsidP="003A4584">
            <w:pPr>
              <w:jc w:val="center"/>
              <w:rPr>
                <w:noProof/>
                <w:sz w:val="22"/>
                <w:szCs w:val="22"/>
              </w:rPr>
            </w:pPr>
            <w:r w:rsidRPr="003A4584">
              <w:rPr>
                <w:noProof/>
                <w:sz w:val="22"/>
                <w:szCs w:val="22"/>
              </w:rPr>
              <w:t>Provedeno savjetovanje nije iziskivalo dodatne financijske troškove.</w:t>
            </w:r>
          </w:p>
        </w:tc>
      </w:tr>
      <w:tr w:rsidR="003A4584" w:rsidRPr="003A4584" w14:paraId="29300302" w14:textId="77777777" w:rsidTr="002F0ED4">
        <w:tblPrEx>
          <w:tblCellMar>
            <w:top w:w="0" w:type="dxa"/>
            <w:bottom w:w="0" w:type="dxa"/>
          </w:tblCellMar>
        </w:tblPrEx>
        <w:trPr>
          <w:trHeight w:val="787"/>
        </w:trPr>
        <w:tc>
          <w:tcPr>
            <w:tcW w:w="3091" w:type="dxa"/>
            <w:vAlign w:val="center"/>
          </w:tcPr>
          <w:p w14:paraId="2E6825A9" w14:textId="77777777" w:rsidR="003A4584" w:rsidRPr="003A4584" w:rsidRDefault="003A4584" w:rsidP="003A4584">
            <w:pPr>
              <w:ind w:left="180"/>
              <w:jc w:val="center"/>
              <w:rPr>
                <w:noProof/>
                <w:sz w:val="22"/>
                <w:szCs w:val="22"/>
              </w:rPr>
            </w:pPr>
            <w:r w:rsidRPr="003A4584">
              <w:rPr>
                <w:noProof/>
                <w:sz w:val="22"/>
                <w:szCs w:val="22"/>
              </w:rPr>
              <w:t>Tko je i kada izradio izvješće o provedenom savjetovanju?</w:t>
            </w:r>
          </w:p>
        </w:tc>
        <w:tc>
          <w:tcPr>
            <w:tcW w:w="3224" w:type="dxa"/>
            <w:shd w:val="clear" w:color="auto" w:fill="auto"/>
            <w:vAlign w:val="center"/>
          </w:tcPr>
          <w:p w14:paraId="6C7992EB" w14:textId="77777777" w:rsidR="003A4584" w:rsidRPr="003A4584" w:rsidRDefault="003A4584" w:rsidP="003A4584">
            <w:pPr>
              <w:jc w:val="center"/>
              <w:rPr>
                <w:noProof/>
                <w:sz w:val="22"/>
                <w:szCs w:val="22"/>
              </w:rPr>
            </w:pPr>
            <w:r w:rsidRPr="003A4584">
              <w:rPr>
                <w:noProof/>
                <w:sz w:val="22"/>
                <w:szCs w:val="22"/>
              </w:rPr>
              <w:t>Ime i prezime:</w:t>
            </w:r>
          </w:p>
          <w:p w14:paraId="0F062900" w14:textId="77777777" w:rsidR="003A4584" w:rsidRPr="003A4584" w:rsidRDefault="003A4584" w:rsidP="003A4584">
            <w:pPr>
              <w:jc w:val="center"/>
              <w:rPr>
                <w:noProof/>
                <w:sz w:val="22"/>
                <w:szCs w:val="22"/>
              </w:rPr>
            </w:pPr>
            <w:r w:rsidRPr="003A4584">
              <w:rPr>
                <w:noProof/>
                <w:sz w:val="22"/>
                <w:szCs w:val="22"/>
              </w:rPr>
              <w:t>Marina Šiprak, dipl.iur.</w:t>
            </w:r>
          </w:p>
        </w:tc>
        <w:tc>
          <w:tcPr>
            <w:tcW w:w="3225" w:type="dxa"/>
            <w:shd w:val="clear" w:color="auto" w:fill="auto"/>
            <w:vAlign w:val="center"/>
          </w:tcPr>
          <w:p w14:paraId="7A5FA091" w14:textId="77777777" w:rsidR="003A4584" w:rsidRPr="003A4584" w:rsidRDefault="003A4584" w:rsidP="003A4584">
            <w:pPr>
              <w:jc w:val="center"/>
              <w:rPr>
                <w:noProof/>
                <w:sz w:val="22"/>
                <w:szCs w:val="22"/>
              </w:rPr>
            </w:pPr>
            <w:r w:rsidRPr="003A4584">
              <w:rPr>
                <w:noProof/>
                <w:sz w:val="22"/>
                <w:szCs w:val="22"/>
              </w:rPr>
              <w:t>Datum:</w:t>
            </w:r>
          </w:p>
          <w:p w14:paraId="419FC406" w14:textId="77777777" w:rsidR="003A4584" w:rsidRPr="003A4584" w:rsidRDefault="003A4584" w:rsidP="003A4584">
            <w:pPr>
              <w:jc w:val="center"/>
              <w:rPr>
                <w:noProof/>
                <w:sz w:val="22"/>
                <w:szCs w:val="22"/>
              </w:rPr>
            </w:pPr>
            <w:r w:rsidRPr="003A4584">
              <w:rPr>
                <w:noProof/>
                <w:sz w:val="22"/>
                <w:szCs w:val="22"/>
              </w:rPr>
              <w:t>9.10.2023.</w:t>
            </w:r>
          </w:p>
        </w:tc>
      </w:tr>
    </w:tbl>
    <w:p w14:paraId="31F01BA0" w14:textId="77777777" w:rsidR="003A4584" w:rsidRPr="003A4584" w:rsidRDefault="003A4584" w:rsidP="003A4584">
      <w:pPr>
        <w:tabs>
          <w:tab w:val="left" w:pos="7305"/>
        </w:tabs>
        <w:rPr>
          <w:noProof/>
        </w:rPr>
      </w:pPr>
    </w:p>
    <w:p w14:paraId="6E6AAFD0" w14:textId="77777777" w:rsidR="003A4584" w:rsidRDefault="003A4584"/>
    <w:sectPr w:rsidR="003A4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53701"/>
    <w:multiLevelType w:val="hybridMultilevel"/>
    <w:tmpl w:val="445257D8"/>
    <w:lvl w:ilvl="0" w:tplc="093A616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B176D47"/>
    <w:multiLevelType w:val="hybridMultilevel"/>
    <w:tmpl w:val="611E546C"/>
    <w:lvl w:ilvl="0" w:tplc="9CF6F78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9318069">
    <w:abstractNumId w:val="1"/>
  </w:num>
  <w:num w:numId="2" w16cid:durableId="21771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5B"/>
    <w:rsid w:val="003A4584"/>
    <w:rsid w:val="00626CE1"/>
    <w:rsid w:val="006679EF"/>
    <w:rsid w:val="00C6625B"/>
    <w:rsid w:val="00D75669"/>
    <w:rsid w:val="00F445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FE0968"/>
  <w15:chartTrackingRefBased/>
  <w15:docId w15:val="{9621C10B-9FF2-4EC8-A3D5-E482BB0A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EF"/>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679EF"/>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styleId="Odlomakpopisa">
    <w:name w:val="List Paragraph"/>
    <w:basedOn w:val="Normal"/>
    <w:uiPriority w:val="34"/>
    <w:qFormat/>
    <w:rsid w:val="0066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anic-grad.hr/dokumenti-grada/pravo-na-pristup-informacijama/savjetovanje-u-tijeku/" TargetMode="External"/><Relationship Id="rId5" Type="http://schemas.openxmlformats.org/officeDocument/2006/relationships/hyperlink" Target="https://www.ivanic-grad.hr/dokumenti-grada/pravo-na-pristup-informacijama/savjetovanje-u-tijek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Siprak</dc:creator>
  <cp:keywords/>
  <dc:description/>
  <cp:lastModifiedBy>Marina Siprak</cp:lastModifiedBy>
  <cp:revision>5</cp:revision>
  <dcterms:created xsi:type="dcterms:W3CDTF">2023-09-08T12:31:00Z</dcterms:created>
  <dcterms:modified xsi:type="dcterms:W3CDTF">2023-10-13T08:10:00Z</dcterms:modified>
</cp:coreProperties>
</file>